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61507" w14:textId="1285DF98" w:rsidR="00B873CC" w:rsidRDefault="000367B6" w:rsidP="00B873CC">
      <w:pPr>
        <w:spacing w:after="0" w:line="240" w:lineRule="auto"/>
        <w:rPr>
          <w:rFonts w:ascii="Arial" w:hAnsi="Arial" w:cs="Arial"/>
          <w:b/>
          <w:bCs/>
        </w:rPr>
      </w:pPr>
      <w:r>
        <w:rPr>
          <w:rFonts w:ascii="Arial" w:hAnsi="Arial" w:cs="Arial"/>
          <w:b/>
          <w:bCs/>
        </w:rPr>
        <w:t>Gibson Cloning Troubles</w:t>
      </w:r>
    </w:p>
    <w:p w14:paraId="1054C1FF" w14:textId="4CEFE276" w:rsidR="00B873CC" w:rsidRDefault="00B873CC" w:rsidP="00B873CC">
      <w:pPr>
        <w:spacing w:after="0" w:line="240" w:lineRule="auto"/>
        <w:rPr>
          <w:rFonts w:ascii="Arial" w:hAnsi="Arial" w:cs="Arial"/>
        </w:rPr>
      </w:pPr>
      <w:r>
        <w:rPr>
          <w:rFonts w:ascii="Arial" w:hAnsi="Arial" w:cs="Arial"/>
        </w:rPr>
        <w:t xml:space="preserve">Keywords: </w:t>
      </w:r>
      <w:r w:rsidR="000367B6">
        <w:rPr>
          <w:rFonts w:ascii="Arial" w:hAnsi="Arial" w:cs="Arial"/>
        </w:rPr>
        <w:t>Synthetic biology, Gibson Assembly, Genetic Engineering</w:t>
      </w:r>
    </w:p>
    <w:p w14:paraId="2B90D9D3" w14:textId="77777777" w:rsidR="00B873CC" w:rsidRDefault="00B873CC" w:rsidP="00B873CC">
      <w:pPr>
        <w:spacing w:after="0" w:line="240" w:lineRule="auto"/>
        <w:rPr>
          <w:rFonts w:ascii="Arial" w:hAnsi="Arial" w:cs="Arial"/>
          <w:b/>
          <w:bCs/>
        </w:rPr>
      </w:pPr>
    </w:p>
    <w:p w14:paraId="11634E56" w14:textId="775704EA" w:rsidR="00B873CC" w:rsidRDefault="00B873CC" w:rsidP="00B873CC">
      <w:pPr>
        <w:spacing w:after="0" w:line="240" w:lineRule="auto"/>
        <w:rPr>
          <w:rFonts w:ascii="Arial" w:hAnsi="Arial" w:cs="Arial"/>
          <w:b/>
          <w:bCs/>
        </w:rPr>
      </w:pPr>
      <w:r>
        <w:rPr>
          <w:rFonts w:ascii="Arial" w:hAnsi="Arial" w:cs="Arial"/>
          <w:b/>
          <w:bCs/>
        </w:rPr>
        <w:t>Background</w:t>
      </w:r>
      <w:r w:rsidR="002A74A4">
        <w:rPr>
          <w:rFonts w:ascii="Arial" w:hAnsi="Arial" w:cs="Arial"/>
          <w:b/>
          <w:bCs/>
        </w:rPr>
        <w:t>:</w:t>
      </w:r>
    </w:p>
    <w:p w14:paraId="71FE8156" w14:textId="0CA0D58B" w:rsidR="00B873CC" w:rsidRDefault="000367B6" w:rsidP="00B94886">
      <w:pPr>
        <w:spacing w:after="0" w:line="240" w:lineRule="auto"/>
        <w:jc w:val="both"/>
        <w:rPr>
          <w:rFonts w:ascii="Arial" w:hAnsi="Arial" w:cs="Arial"/>
        </w:rPr>
      </w:pPr>
      <w:r>
        <w:rPr>
          <w:rFonts w:ascii="Arial" w:hAnsi="Arial" w:cs="Arial"/>
        </w:rPr>
        <w:t xml:space="preserve">Gibson Assembly was developed by </w:t>
      </w:r>
      <w:r w:rsidR="001B1E98">
        <w:rPr>
          <w:rFonts w:ascii="Arial" w:hAnsi="Arial" w:cs="Arial"/>
        </w:rPr>
        <w:t>Daniel Gibson and colleagues in 2009, in which the authors established a protocol to assemble plasmids from multi-kilobase pair linear fragments in a one-pot, isothermal reaction</w:t>
      </w:r>
      <w:r w:rsidR="00671F20">
        <w:rPr>
          <w:rFonts w:ascii="Arial" w:hAnsi="Arial" w:cs="Arial"/>
        </w:rPr>
        <w:fldChar w:fldCharType="begin"/>
      </w:r>
      <w:r w:rsidR="00671F20">
        <w:rPr>
          <w:rFonts w:ascii="Arial" w:hAnsi="Arial" w:cs="Arial"/>
        </w:rPr>
        <w:instrText xml:space="preserve"> ADDIN ZOTERO_ITEM CSL_CITATION {"citationID":"EMlAH3GK","properties":{"formattedCitation":"\\super 1\\nosupersub{}","plainCitation":"1","noteIndex":0},"citationItems":[{"id":8973,"uris":["http://zotero.org/users/10035094/items/W9VU4MBU"],"itemData":{"id":8973,"type":"article-journal","container-title":"Nature Methods","DOI":"10.1038/nmeth.1318","ISSN":"1548-7091, 1548-7105","issue":"5","journalAbbreviation":"Nat Methods","language":"en","license":"http://www.springer.com/tdm","page":"343-345","source":"DOI.org (Crossref)","title":"Enzymatic assembly of DNA molecules up to several hundred kilobases","volume":"6","author":[{"family":"Gibson","given":"Daniel G"},{"family":"Young","given":"Lei"},{"family":"Chuang","given":"Ray-Yuan"},{"family":"Venter","given":"J Craig"},{"family":"Hutchison","given":"Clyde A"},{"family":"Smith","given":"Hamilton O"}],"issued":{"date-parts":[["2009",5]]}}}],"schema":"https://github.com/citation-style-language/schema/raw/master/csl-citation.json"} </w:instrText>
      </w:r>
      <w:r w:rsidR="00671F20">
        <w:rPr>
          <w:rFonts w:ascii="Arial" w:hAnsi="Arial" w:cs="Arial"/>
        </w:rPr>
        <w:fldChar w:fldCharType="separate"/>
      </w:r>
      <w:r w:rsidR="00671F20" w:rsidRPr="00671F20">
        <w:rPr>
          <w:rFonts w:ascii="Arial" w:hAnsi="Arial" w:cs="Arial"/>
          <w:kern w:val="0"/>
          <w:vertAlign w:val="superscript"/>
        </w:rPr>
        <w:t>1</w:t>
      </w:r>
      <w:r w:rsidR="00671F20">
        <w:rPr>
          <w:rFonts w:ascii="Arial" w:hAnsi="Arial" w:cs="Arial"/>
        </w:rPr>
        <w:fldChar w:fldCharType="end"/>
      </w:r>
      <w:r w:rsidR="001B1E98">
        <w:rPr>
          <w:rFonts w:ascii="Arial" w:hAnsi="Arial" w:cs="Arial"/>
        </w:rPr>
        <w:t xml:space="preserve">. The linear fragments in the Gibson Assembly must share the same terminal sequences, which can be appended via PCR by designing primers to </w:t>
      </w:r>
      <w:r w:rsidR="00611E72">
        <w:rPr>
          <w:rFonts w:ascii="Arial" w:hAnsi="Arial" w:cs="Arial"/>
        </w:rPr>
        <w:t xml:space="preserve">add the desired sequence. Once the sequences are generated, they are assembled using a </w:t>
      </w:r>
      <w:r w:rsidR="001B5777">
        <w:rPr>
          <w:rFonts w:ascii="Arial" w:hAnsi="Arial" w:cs="Arial"/>
        </w:rPr>
        <w:t xml:space="preserve">three-step </w:t>
      </w:r>
      <w:r w:rsidR="00611E72">
        <w:rPr>
          <w:rFonts w:ascii="Arial" w:hAnsi="Arial" w:cs="Arial"/>
        </w:rPr>
        <w:t>process: (i) T5 Exonuclease chews back the ends of the fragments exposing single-stranded ends, (ii) Phusion polymerase synthesizes the two overlapping single stands, and (iii) Taq Ligase seals remaining nicks in the new double-stranded product</w:t>
      </w:r>
      <w:r w:rsidR="001B5777">
        <w:rPr>
          <w:rFonts w:ascii="Arial" w:hAnsi="Arial" w:cs="Arial"/>
        </w:rPr>
        <w:t xml:space="preserve">. </w:t>
      </w:r>
      <w:r w:rsidR="00597FCC">
        <w:rPr>
          <w:rFonts w:ascii="Arial" w:hAnsi="Arial" w:cs="Arial"/>
        </w:rPr>
        <w:t>This entire process occurs in a single reaction</w:t>
      </w:r>
      <w:r w:rsidR="00763883">
        <w:rPr>
          <w:rFonts w:ascii="Arial" w:hAnsi="Arial" w:cs="Arial"/>
        </w:rPr>
        <w:t xml:space="preserve"> buffer</w:t>
      </w:r>
      <w:r w:rsidR="00597FCC">
        <w:rPr>
          <w:rFonts w:ascii="Arial" w:hAnsi="Arial" w:cs="Arial"/>
        </w:rPr>
        <w:t xml:space="preserve"> at 50°C for approximately an hour. </w:t>
      </w:r>
      <w:r w:rsidR="0080435B">
        <w:rPr>
          <w:rFonts w:ascii="Arial" w:hAnsi="Arial" w:cs="Arial"/>
        </w:rPr>
        <w:t xml:space="preserve">This buffer can then be transformed directly into bacteria to sequence confirm the plasmids contained in the resulting colonies. </w:t>
      </w:r>
      <w:r w:rsidR="00763883">
        <w:rPr>
          <w:rFonts w:ascii="Arial" w:hAnsi="Arial" w:cs="Arial"/>
        </w:rPr>
        <w:t xml:space="preserve">This process can allow for one-day assemblies of plasmids and has greatly accelerated the speed at which synthetic biology can advance. </w:t>
      </w:r>
    </w:p>
    <w:p w14:paraId="0C822CEB" w14:textId="77777777" w:rsidR="002A74A4" w:rsidRDefault="002A74A4" w:rsidP="00B94886">
      <w:pPr>
        <w:spacing w:after="0" w:line="240" w:lineRule="auto"/>
        <w:jc w:val="both"/>
        <w:rPr>
          <w:rFonts w:ascii="Arial" w:hAnsi="Arial" w:cs="Arial"/>
        </w:rPr>
      </w:pPr>
    </w:p>
    <w:p w14:paraId="58FF04A2" w14:textId="7A62AFB2" w:rsidR="002A74A4" w:rsidRDefault="002A74A4" w:rsidP="00B94886">
      <w:pPr>
        <w:spacing w:after="0" w:line="240" w:lineRule="auto"/>
        <w:jc w:val="both"/>
        <w:rPr>
          <w:rFonts w:ascii="Arial" w:hAnsi="Arial" w:cs="Arial"/>
          <w:b/>
          <w:bCs/>
        </w:rPr>
      </w:pPr>
      <w:r>
        <w:rPr>
          <w:rFonts w:ascii="Arial" w:hAnsi="Arial" w:cs="Arial"/>
          <w:b/>
          <w:bCs/>
        </w:rPr>
        <w:t>Scenario:</w:t>
      </w:r>
    </w:p>
    <w:p w14:paraId="6EC7F245" w14:textId="5B19660C" w:rsidR="0080435B" w:rsidRDefault="002A74A4" w:rsidP="00B94886">
      <w:pPr>
        <w:spacing w:after="0" w:line="240" w:lineRule="auto"/>
        <w:jc w:val="both"/>
        <w:rPr>
          <w:rFonts w:ascii="Arial" w:hAnsi="Arial" w:cs="Arial"/>
        </w:rPr>
      </w:pPr>
      <w:r>
        <w:rPr>
          <w:rFonts w:ascii="Arial" w:hAnsi="Arial" w:cs="Arial"/>
        </w:rPr>
        <w:t xml:space="preserve">You are a researcher who </w:t>
      </w:r>
      <w:r w:rsidR="0080435B">
        <w:rPr>
          <w:rFonts w:ascii="Arial" w:hAnsi="Arial" w:cs="Arial"/>
        </w:rPr>
        <w:t xml:space="preserve">is interested in evaluating new enzymes </w:t>
      </w:r>
      <w:r w:rsidR="00F11B16">
        <w:rPr>
          <w:rFonts w:ascii="Arial" w:hAnsi="Arial" w:cs="Arial"/>
        </w:rPr>
        <w:t>to produce</w:t>
      </w:r>
      <w:r w:rsidR="0080435B">
        <w:rPr>
          <w:rFonts w:ascii="Arial" w:hAnsi="Arial" w:cs="Arial"/>
        </w:rPr>
        <w:t xml:space="preserve"> a desired metabolite, as such you utilize Gibson Assembly to insert the DNA sequences of your candidate enzymes into your expression plasmid. Your lab has used Gibson Assembly previously with success</w:t>
      </w:r>
      <w:r w:rsidR="00B95974">
        <w:rPr>
          <w:rFonts w:ascii="Arial" w:hAnsi="Arial" w:cs="Arial"/>
        </w:rPr>
        <w:t>.</w:t>
      </w:r>
      <w:r w:rsidR="0080435B">
        <w:rPr>
          <w:rFonts w:ascii="Arial" w:hAnsi="Arial" w:cs="Arial"/>
        </w:rPr>
        <w:t xml:space="preserve"> However, when you try to clone your new plasmids via Gibson Assembly, you do not observe any colonies the next day. </w:t>
      </w:r>
      <w:r w:rsidR="00F11B16">
        <w:rPr>
          <w:rFonts w:ascii="Arial" w:hAnsi="Arial" w:cs="Arial"/>
        </w:rPr>
        <w:t>Your backbone of your plasmid is ~4300 base</w:t>
      </w:r>
      <w:r w:rsidR="009A73B1">
        <w:rPr>
          <w:rFonts w:ascii="Arial" w:hAnsi="Arial" w:cs="Arial"/>
        </w:rPr>
        <w:t xml:space="preserve"> </w:t>
      </w:r>
      <w:r w:rsidR="00F11B16">
        <w:rPr>
          <w:rFonts w:ascii="Arial" w:hAnsi="Arial" w:cs="Arial"/>
        </w:rPr>
        <w:t>pairs, while the insert is 840 base</w:t>
      </w:r>
      <w:r w:rsidR="009A73B1">
        <w:rPr>
          <w:rFonts w:ascii="Arial" w:hAnsi="Arial" w:cs="Arial"/>
        </w:rPr>
        <w:t xml:space="preserve"> </w:t>
      </w:r>
      <w:r w:rsidR="00F11B16">
        <w:rPr>
          <w:rFonts w:ascii="Arial" w:hAnsi="Arial" w:cs="Arial"/>
        </w:rPr>
        <w:t>pairs</w:t>
      </w:r>
      <w:r w:rsidR="009A73B1">
        <w:rPr>
          <w:rFonts w:ascii="Arial" w:hAnsi="Arial" w:cs="Arial"/>
        </w:rPr>
        <w:t>.</w:t>
      </w:r>
    </w:p>
    <w:p w14:paraId="0DA4A287" w14:textId="77777777" w:rsidR="0080435B" w:rsidRDefault="0080435B" w:rsidP="00B94886">
      <w:pPr>
        <w:spacing w:after="0" w:line="240" w:lineRule="auto"/>
        <w:jc w:val="both"/>
        <w:rPr>
          <w:rFonts w:ascii="Arial" w:hAnsi="Arial" w:cs="Arial"/>
        </w:rPr>
      </w:pPr>
    </w:p>
    <w:p w14:paraId="5F411FCE" w14:textId="4AB623D7" w:rsidR="002A74A4" w:rsidRDefault="0080435B" w:rsidP="0080435B">
      <w:pPr>
        <w:spacing w:line="240" w:lineRule="auto"/>
        <w:jc w:val="both"/>
        <w:rPr>
          <w:rFonts w:ascii="Arial" w:hAnsi="Arial" w:cs="Arial"/>
          <w:b/>
          <w:bCs/>
        </w:rPr>
      </w:pPr>
      <w:r w:rsidRPr="0080435B">
        <w:rPr>
          <w:rFonts w:ascii="Arial" w:hAnsi="Arial" w:cs="Arial"/>
          <w:b/>
          <w:bCs/>
        </w:rPr>
        <w:t>Protocol:</w:t>
      </w:r>
    </w:p>
    <w:p w14:paraId="6A72CC20" w14:textId="3B66D9DF" w:rsidR="0080435B" w:rsidRDefault="0033157F" w:rsidP="0080435B">
      <w:pPr>
        <w:pStyle w:val="ListParagraph"/>
        <w:numPr>
          <w:ilvl w:val="0"/>
          <w:numId w:val="2"/>
        </w:numPr>
        <w:spacing w:after="0" w:line="240" w:lineRule="auto"/>
        <w:jc w:val="both"/>
        <w:rPr>
          <w:rFonts w:ascii="Arial" w:hAnsi="Arial" w:cs="Arial"/>
        </w:rPr>
      </w:pPr>
      <w:r>
        <w:rPr>
          <w:rFonts w:ascii="Arial" w:hAnsi="Arial" w:cs="Arial"/>
        </w:rPr>
        <w:t>Measure concentration of PCR products (from PCR that appended expression plasmid overlap sequences onto target enzyme gene sequences)</w:t>
      </w:r>
    </w:p>
    <w:p w14:paraId="66355912" w14:textId="4B288AA7" w:rsidR="009E5CD7" w:rsidRDefault="009E5CD7" w:rsidP="0080435B">
      <w:pPr>
        <w:pStyle w:val="ListParagraph"/>
        <w:numPr>
          <w:ilvl w:val="0"/>
          <w:numId w:val="2"/>
        </w:numPr>
        <w:spacing w:after="0" w:line="240" w:lineRule="auto"/>
        <w:jc w:val="both"/>
        <w:rPr>
          <w:rFonts w:ascii="Arial" w:hAnsi="Arial" w:cs="Arial"/>
        </w:rPr>
      </w:pPr>
      <w:r>
        <w:rPr>
          <w:rFonts w:ascii="Arial" w:hAnsi="Arial" w:cs="Arial"/>
        </w:rPr>
        <w:t xml:space="preserve">Thaw 10 </w:t>
      </w:r>
      <w:r w:rsidR="009A73B1">
        <w:rPr>
          <w:rFonts w:ascii="Arial" w:hAnsi="Arial" w:cs="Arial"/>
        </w:rPr>
        <w:t>µ</w:t>
      </w:r>
      <w:r>
        <w:rPr>
          <w:rFonts w:ascii="Arial" w:hAnsi="Arial" w:cs="Arial"/>
        </w:rPr>
        <w:t xml:space="preserve">L 2x Gibson Assembly </w:t>
      </w:r>
      <w:r w:rsidR="008C12BB">
        <w:rPr>
          <w:rFonts w:ascii="Arial" w:hAnsi="Arial" w:cs="Arial"/>
        </w:rPr>
        <w:t>Reaction Buffer</w:t>
      </w:r>
      <w:r>
        <w:rPr>
          <w:rFonts w:ascii="Arial" w:hAnsi="Arial" w:cs="Arial"/>
        </w:rPr>
        <w:t xml:space="preserve"> aliquots on ice</w:t>
      </w:r>
    </w:p>
    <w:p w14:paraId="5152B88B" w14:textId="47195810" w:rsidR="0033157F" w:rsidRDefault="0033157F" w:rsidP="0080435B">
      <w:pPr>
        <w:pStyle w:val="ListParagraph"/>
        <w:numPr>
          <w:ilvl w:val="0"/>
          <w:numId w:val="2"/>
        </w:numPr>
        <w:spacing w:after="0" w:line="240" w:lineRule="auto"/>
        <w:jc w:val="both"/>
        <w:rPr>
          <w:rFonts w:ascii="Arial" w:hAnsi="Arial" w:cs="Arial"/>
        </w:rPr>
      </w:pPr>
      <w:r>
        <w:rPr>
          <w:rFonts w:ascii="Arial" w:hAnsi="Arial" w:cs="Arial"/>
        </w:rPr>
        <w:t xml:space="preserve">Add insert sequence and plasmid backbone sequence into the Gibson Assembly reaction aliquot in a 3:1 </w:t>
      </w:r>
      <w:r w:rsidR="009E5CD7">
        <w:rPr>
          <w:rFonts w:ascii="Arial" w:hAnsi="Arial" w:cs="Arial"/>
        </w:rPr>
        <w:t xml:space="preserve">molar </w:t>
      </w:r>
      <w:r>
        <w:rPr>
          <w:rFonts w:ascii="Arial" w:hAnsi="Arial" w:cs="Arial"/>
        </w:rPr>
        <w:t>ratio, as per NEB Guidelines, and is calculated in Table 1</w:t>
      </w:r>
    </w:p>
    <w:p w14:paraId="0271D94D" w14:textId="019A2F59" w:rsidR="0033157F" w:rsidRDefault="009E5CD7" w:rsidP="0080435B">
      <w:pPr>
        <w:pStyle w:val="ListParagraph"/>
        <w:numPr>
          <w:ilvl w:val="0"/>
          <w:numId w:val="2"/>
        </w:numPr>
        <w:spacing w:after="0" w:line="240" w:lineRule="auto"/>
        <w:jc w:val="both"/>
        <w:rPr>
          <w:rFonts w:ascii="Arial" w:hAnsi="Arial" w:cs="Arial"/>
        </w:rPr>
      </w:pPr>
      <w:r>
        <w:rPr>
          <w:rFonts w:ascii="Arial" w:hAnsi="Arial" w:cs="Arial"/>
        </w:rPr>
        <w:t>Add DI H</w:t>
      </w:r>
      <w:r>
        <w:rPr>
          <w:rFonts w:ascii="Arial" w:hAnsi="Arial" w:cs="Arial"/>
          <w:vertAlign w:val="subscript"/>
        </w:rPr>
        <w:t>2</w:t>
      </w:r>
      <w:r>
        <w:rPr>
          <w:rFonts w:ascii="Arial" w:hAnsi="Arial" w:cs="Arial"/>
        </w:rPr>
        <w:t xml:space="preserve">O to bring the total reaction volume of 20 </w:t>
      </w:r>
      <w:r w:rsidR="009A73B1">
        <w:rPr>
          <w:rFonts w:ascii="Arial" w:hAnsi="Arial" w:cs="Arial"/>
        </w:rPr>
        <w:t>µ</w:t>
      </w:r>
      <w:r>
        <w:rPr>
          <w:rFonts w:ascii="Arial" w:hAnsi="Arial" w:cs="Arial"/>
        </w:rPr>
        <w:t>L</w:t>
      </w:r>
    </w:p>
    <w:p w14:paraId="1628EDDF" w14:textId="1A49EFFE" w:rsidR="009E5CD7" w:rsidRDefault="009E5CD7" w:rsidP="0080435B">
      <w:pPr>
        <w:pStyle w:val="ListParagraph"/>
        <w:numPr>
          <w:ilvl w:val="0"/>
          <w:numId w:val="2"/>
        </w:numPr>
        <w:spacing w:after="0" w:line="240" w:lineRule="auto"/>
        <w:jc w:val="both"/>
        <w:rPr>
          <w:rFonts w:ascii="Arial" w:hAnsi="Arial" w:cs="Arial"/>
        </w:rPr>
      </w:pPr>
      <w:r>
        <w:rPr>
          <w:rFonts w:ascii="Arial" w:hAnsi="Arial" w:cs="Arial"/>
        </w:rPr>
        <w:t>Mix complete reaction mixture via pipetting</w:t>
      </w:r>
    </w:p>
    <w:p w14:paraId="101D54A6" w14:textId="71EE0FCF" w:rsidR="009E5CD7" w:rsidRDefault="009E5CD7" w:rsidP="0080435B">
      <w:pPr>
        <w:pStyle w:val="ListParagraph"/>
        <w:numPr>
          <w:ilvl w:val="0"/>
          <w:numId w:val="2"/>
        </w:numPr>
        <w:spacing w:after="0" w:line="240" w:lineRule="auto"/>
        <w:jc w:val="both"/>
        <w:rPr>
          <w:rFonts w:ascii="Arial" w:hAnsi="Arial" w:cs="Arial"/>
        </w:rPr>
      </w:pPr>
      <w:r>
        <w:rPr>
          <w:rFonts w:ascii="Arial" w:hAnsi="Arial" w:cs="Arial"/>
        </w:rPr>
        <w:t>Run Gibson Assembly reaction by heating the aliquot at 50°C for one hour</w:t>
      </w:r>
    </w:p>
    <w:p w14:paraId="195F3765" w14:textId="7F5755B2" w:rsidR="00A93DFE" w:rsidRDefault="009E5CD7" w:rsidP="0080435B">
      <w:pPr>
        <w:pStyle w:val="ListParagraph"/>
        <w:numPr>
          <w:ilvl w:val="0"/>
          <w:numId w:val="2"/>
        </w:numPr>
        <w:spacing w:after="0" w:line="240" w:lineRule="auto"/>
        <w:jc w:val="both"/>
        <w:rPr>
          <w:rFonts w:ascii="Arial" w:hAnsi="Arial" w:cs="Arial"/>
        </w:rPr>
      </w:pPr>
      <w:r>
        <w:rPr>
          <w:rFonts w:ascii="Arial" w:hAnsi="Arial" w:cs="Arial"/>
        </w:rPr>
        <w:t xml:space="preserve">Add 2 </w:t>
      </w:r>
      <w:r w:rsidR="009A73B1">
        <w:rPr>
          <w:rFonts w:ascii="Arial" w:hAnsi="Arial" w:cs="Arial"/>
        </w:rPr>
        <w:t>µ</w:t>
      </w:r>
      <w:r>
        <w:rPr>
          <w:rFonts w:ascii="Arial" w:hAnsi="Arial" w:cs="Arial"/>
        </w:rPr>
        <w:t xml:space="preserve">L of Gibson Assembly reaction to 100 </w:t>
      </w:r>
      <w:r w:rsidR="009A73B1">
        <w:rPr>
          <w:rFonts w:ascii="Arial" w:hAnsi="Arial" w:cs="Arial"/>
        </w:rPr>
        <w:t>µ</w:t>
      </w:r>
      <w:r>
        <w:rPr>
          <w:rFonts w:ascii="Arial" w:hAnsi="Arial" w:cs="Arial"/>
        </w:rPr>
        <w:t xml:space="preserve">L of chemically competent prepared DH5α </w:t>
      </w:r>
      <w:r>
        <w:rPr>
          <w:rFonts w:ascii="Arial" w:hAnsi="Arial" w:cs="Arial"/>
          <w:i/>
          <w:iCs/>
        </w:rPr>
        <w:t>E. coli</w:t>
      </w:r>
      <w:r>
        <w:rPr>
          <w:rFonts w:ascii="Arial" w:hAnsi="Arial" w:cs="Arial"/>
        </w:rPr>
        <w:t xml:space="preserve"> cells</w:t>
      </w:r>
    </w:p>
    <w:p w14:paraId="3FFC658D" w14:textId="77777777" w:rsidR="00A93DFE" w:rsidRDefault="00A93DFE" w:rsidP="0080435B">
      <w:pPr>
        <w:pStyle w:val="ListParagraph"/>
        <w:numPr>
          <w:ilvl w:val="0"/>
          <w:numId w:val="2"/>
        </w:numPr>
        <w:spacing w:after="0" w:line="240" w:lineRule="auto"/>
        <w:jc w:val="both"/>
        <w:rPr>
          <w:rFonts w:ascii="Arial" w:hAnsi="Arial" w:cs="Arial"/>
        </w:rPr>
      </w:pPr>
      <w:r>
        <w:rPr>
          <w:rFonts w:ascii="Arial" w:hAnsi="Arial" w:cs="Arial"/>
        </w:rPr>
        <w:t>Place mixture on ice for 15 minutes before transferring to 42°C water bath for 45 seconds</w:t>
      </w:r>
    </w:p>
    <w:p w14:paraId="1A709FA3" w14:textId="77777777" w:rsidR="00A93DFE" w:rsidRDefault="00A93DFE" w:rsidP="00A93DFE">
      <w:pPr>
        <w:pStyle w:val="ListParagraph"/>
        <w:numPr>
          <w:ilvl w:val="0"/>
          <w:numId w:val="2"/>
        </w:numPr>
        <w:spacing w:after="0" w:line="240" w:lineRule="auto"/>
        <w:jc w:val="both"/>
        <w:rPr>
          <w:rFonts w:ascii="Arial" w:hAnsi="Arial" w:cs="Arial"/>
        </w:rPr>
      </w:pPr>
      <w:r>
        <w:rPr>
          <w:rFonts w:ascii="Arial" w:hAnsi="Arial" w:cs="Arial"/>
        </w:rPr>
        <w:t>Return mixture back to ice for an additional 2 minutes</w:t>
      </w:r>
    </w:p>
    <w:p w14:paraId="67977949" w14:textId="3ABD630E" w:rsidR="00A93DFE" w:rsidRDefault="00A93DFE" w:rsidP="00A93DFE">
      <w:pPr>
        <w:pStyle w:val="ListParagraph"/>
        <w:numPr>
          <w:ilvl w:val="0"/>
          <w:numId w:val="2"/>
        </w:numPr>
        <w:spacing w:after="0" w:line="240" w:lineRule="auto"/>
        <w:jc w:val="both"/>
        <w:rPr>
          <w:rFonts w:ascii="Arial" w:hAnsi="Arial" w:cs="Arial"/>
        </w:rPr>
      </w:pPr>
      <w:r w:rsidRPr="00A93DFE">
        <w:rPr>
          <w:rFonts w:ascii="Arial" w:hAnsi="Arial" w:cs="Arial"/>
        </w:rPr>
        <w:t>Add</w:t>
      </w:r>
      <w:r>
        <w:rPr>
          <w:rFonts w:ascii="Arial" w:hAnsi="Arial" w:cs="Arial"/>
        </w:rPr>
        <w:t xml:space="preserve"> 900 </w:t>
      </w:r>
      <w:r w:rsidR="009A73B1">
        <w:rPr>
          <w:rFonts w:ascii="Arial" w:hAnsi="Arial" w:cs="Arial"/>
        </w:rPr>
        <w:t>µ</w:t>
      </w:r>
      <w:r>
        <w:rPr>
          <w:rFonts w:ascii="Arial" w:hAnsi="Arial" w:cs="Arial"/>
        </w:rPr>
        <w:t>L of LB Media and recover cells for 1 hour in a 37°C shaking incubator</w:t>
      </w:r>
    </w:p>
    <w:p w14:paraId="29BE1CB2" w14:textId="77777777" w:rsidR="002E40C7" w:rsidRDefault="002E40C7" w:rsidP="00A93DFE">
      <w:pPr>
        <w:pStyle w:val="ListParagraph"/>
        <w:numPr>
          <w:ilvl w:val="0"/>
          <w:numId w:val="2"/>
        </w:numPr>
        <w:spacing w:after="0" w:line="240" w:lineRule="auto"/>
        <w:jc w:val="both"/>
        <w:rPr>
          <w:rFonts w:ascii="Arial" w:hAnsi="Arial" w:cs="Arial"/>
        </w:rPr>
      </w:pPr>
      <w:r>
        <w:rPr>
          <w:rFonts w:ascii="Arial" w:hAnsi="Arial" w:cs="Arial"/>
        </w:rPr>
        <w:t>Pellet the cells by centrifuging at 5000 rpm for 5 minutes</w:t>
      </w:r>
    </w:p>
    <w:p w14:paraId="5C2D7C3E" w14:textId="43D125F0" w:rsidR="002E40C7" w:rsidRDefault="002E40C7" w:rsidP="00A93DFE">
      <w:pPr>
        <w:pStyle w:val="ListParagraph"/>
        <w:numPr>
          <w:ilvl w:val="0"/>
          <w:numId w:val="2"/>
        </w:numPr>
        <w:spacing w:after="0" w:line="240" w:lineRule="auto"/>
        <w:jc w:val="both"/>
        <w:rPr>
          <w:rFonts w:ascii="Arial" w:hAnsi="Arial" w:cs="Arial"/>
        </w:rPr>
      </w:pPr>
      <w:r>
        <w:rPr>
          <w:rFonts w:ascii="Arial" w:hAnsi="Arial" w:cs="Arial"/>
        </w:rPr>
        <w:t xml:space="preserve">Resuspend pellet in 200 </w:t>
      </w:r>
      <w:r w:rsidR="009A73B1">
        <w:rPr>
          <w:rFonts w:ascii="Arial" w:hAnsi="Arial" w:cs="Arial"/>
        </w:rPr>
        <w:t>µ</w:t>
      </w:r>
      <w:r>
        <w:rPr>
          <w:rFonts w:ascii="Arial" w:hAnsi="Arial" w:cs="Arial"/>
        </w:rPr>
        <w:t xml:space="preserve">L of LB and spread all 200 </w:t>
      </w:r>
      <w:r w:rsidR="009A73B1">
        <w:rPr>
          <w:rFonts w:ascii="Arial" w:hAnsi="Arial" w:cs="Arial"/>
        </w:rPr>
        <w:t>µ</w:t>
      </w:r>
      <w:r>
        <w:rPr>
          <w:rFonts w:ascii="Arial" w:hAnsi="Arial" w:cs="Arial"/>
        </w:rPr>
        <w:t>L onto LB + Antibiotic Agar plate</w:t>
      </w:r>
    </w:p>
    <w:p w14:paraId="187683E1" w14:textId="77777777" w:rsidR="002E40C7" w:rsidRDefault="002E40C7" w:rsidP="00A93DFE">
      <w:pPr>
        <w:pStyle w:val="ListParagraph"/>
        <w:numPr>
          <w:ilvl w:val="0"/>
          <w:numId w:val="2"/>
        </w:numPr>
        <w:spacing w:after="0" w:line="240" w:lineRule="auto"/>
        <w:jc w:val="both"/>
        <w:rPr>
          <w:rFonts w:ascii="Arial" w:hAnsi="Arial" w:cs="Arial"/>
        </w:rPr>
      </w:pPr>
      <w:r>
        <w:rPr>
          <w:rFonts w:ascii="Arial" w:hAnsi="Arial" w:cs="Arial"/>
        </w:rPr>
        <w:t>Grow plates overnight in a 37°C standing incubator</w:t>
      </w:r>
    </w:p>
    <w:p w14:paraId="3A0ABE82" w14:textId="260C547D" w:rsidR="00980FFC" w:rsidRDefault="00980FFC" w:rsidP="00A93DFE">
      <w:pPr>
        <w:pStyle w:val="ListParagraph"/>
        <w:numPr>
          <w:ilvl w:val="0"/>
          <w:numId w:val="2"/>
        </w:numPr>
        <w:spacing w:after="0" w:line="240" w:lineRule="auto"/>
        <w:jc w:val="both"/>
        <w:rPr>
          <w:rFonts w:ascii="Arial" w:hAnsi="Arial" w:cs="Arial"/>
        </w:rPr>
      </w:pPr>
      <w:r>
        <w:rPr>
          <w:rFonts w:ascii="Arial" w:hAnsi="Arial" w:cs="Arial"/>
        </w:rPr>
        <w:lastRenderedPageBreak/>
        <w:t>Pick single colonies from the plates into a 5 mL LB + antibiotic liquid culture and grow overnight in a 37°C shaking incubator</w:t>
      </w:r>
    </w:p>
    <w:p w14:paraId="6165E08A" w14:textId="578FF508" w:rsidR="0080435B" w:rsidRDefault="00980FFC" w:rsidP="00B94886">
      <w:pPr>
        <w:pStyle w:val="ListParagraph"/>
        <w:numPr>
          <w:ilvl w:val="0"/>
          <w:numId w:val="2"/>
        </w:numPr>
        <w:spacing w:after="0" w:line="240" w:lineRule="auto"/>
        <w:jc w:val="both"/>
        <w:rPr>
          <w:rFonts w:ascii="Arial" w:hAnsi="Arial" w:cs="Arial"/>
        </w:rPr>
      </w:pPr>
      <w:r>
        <w:rPr>
          <w:rFonts w:ascii="Arial" w:hAnsi="Arial" w:cs="Arial"/>
        </w:rPr>
        <w:t xml:space="preserve">Purify plasmids from overnight culture using </w:t>
      </w:r>
      <w:proofErr w:type="spellStart"/>
      <w:r>
        <w:rPr>
          <w:rFonts w:ascii="Arial" w:hAnsi="Arial" w:cs="Arial"/>
        </w:rPr>
        <w:t>QIAprep</w:t>
      </w:r>
      <w:proofErr w:type="spellEnd"/>
      <w:r>
        <w:rPr>
          <w:rFonts w:ascii="Arial" w:hAnsi="Arial" w:cs="Arial"/>
        </w:rPr>
        <w:t xml:space="preserve"> Spin Miniprep kit (Cat. No. 27104) </w:t>
      </w:r>
      <w:r w:rsidR="002E40C7">
        <w:rPr>
          <w:rFonts w:ascii="Arial" w:hAnsi="Arial" w:cs="Arial"/>
        </w:rPr>
        <w:t xml:space="preserve"> </w:t>
      </w:r>
      <w:r w:rsidR="00A93DFE" w:rsidRPr="00A93DFE">
        <w:rPr>
          <w:rFonts w:ascii="Arial" w:hAnsi="Arial" w:cs="Arial"/>
        </w:rPr>
        <w:t xml:space="preserve"> </w:t>
      </w:r>
      <w:r w:rsidR="009E5CD7" w:rsidRPr="00A93DFE">
        <w:rPr>
          <w:rFonts w:ascii="Arial" w:hAnsi="Arial" w:cs="Arial"/>
        </w:rPr>
        <w:t xml:space="preserve"> </w:t>
      </w:r>
    </w:p>
    <w:p w14:paraId="5955BA26" w14:textId="77777777" w:rsidR="008C12BB" w:rsidRDefault="008C12BB" w:rsidP="008C12BB">
      <w:pPr>
        <w:spacing w:after="0" w:line="240" w:lineRule="auto"/>
        <w:jc w:val="both"/>
        <w:rPr>
          <w:rFonts w:ascii="Arial" w:hAnsi="Arial" w:cs="Arial"/>
        </w:rPr>
      </w:pPr>
    </w:p>
    <w:p w14:paraId="2036B16A" w14:textId="1FF95871" w:rsidR="008C12BB" w:rsidRPr="008C12BB" w:rsidRDefault="008C12BB" w:rsidP="00F536B7">
      <w:pPr>
        <w:spacing w:line="240" w:lineRule="auto"/>
        <w:jc w:val="both"/>
        <w:rPr>
          <w:rFonts w:ascii="Arial" w:hAnsi="Arial" w:cs="Arial"/>
        </w:rPr>
      </w:pPr>
      <w:r>
        <w:rPr>
          <w:rFonts w:ascii="Arial" w:hAnsi="Arial" w:cs="Arial"/>
          <w:b/>
          <w:bCs/>
        </w:rPr>
        <w:t xml:space="preserve">Table 1. </w:t>
      </w:r>
      <w:r w:rsidRPr="008C12BB">
        <w:rPr>
          <w:rFonts w:ascii="Arial" w:hAnsi="Arial" w:cs="Arial"/>
        </w:rPr>
        <w:t>Gibson Assembly Volumes Sample Spreadsheet</w:t>
      </w:r>
      <w:r w:rsidR="00436ACA">
        <w:rPr>
          <w:rFonts w:ascii="Arial" w:hAnsi="Arial" w:cs="Arial"/>
        </w:rPr>
        <w:t>. Moles and volumes are calculated based on the backbone mass set at 100 ng, as well as concentrations and lengths of each PCR product</w:t>
      </w:r>
      <w:r w:rsidR="008168F0">
        <w:rPr>
          <w:rFonts w:ascii="Arial" w:hAnsi="Arial" w:cs="Arial"/>
        </w:rPr>
        <w:t>.</w:t>
      </w:r>
    </w:p>
    <w:tbl>
      <w:tblPr>
        <w:tblStyle w:val="TableGrid"/>
        <w:tblW w:w="0" w:type="auto"/>
        <w:tblLook w:val="04A0" w:firstRow="1" w:lastRow="0" w:firstColumn="1" w:lastColumn="0" w:noHBand="0" w:noVBand="1"/>
      </w:tblPr>
      <w:tblGrid>
        <w:gridCol w:w="1578"/>
        <w:gridCol w:w="1657"/>
        <w:gridCol w:w="1106"/>
        <w:gridCol w:w="1414"/>
        <w:gridCol w:w="1127"/>
        <w:gridCol w:w="1234"/>
        <w:gridCol w:w="1234"/>
      </w:tblGrid>
      <w:tr w:rsidR="00436ACA" w14:paraId="120202AD" w14:textId="77777777" w:rsidTr="00436ACA">
        <w:tc>
          <w:tcPr>
            <w:tcW w:w="1578" w:type="dxa"/>
            <w:vAlign w:val="center"/>
          </w:tcPr>
          <w:p w14:paraId="01D15DE4" w14:textId="4E3D31E4" w:rsidR="00436ACA" w:rsidRPr="00436ACA" w:rsidRDefault="00436ACA" w:rsidP="00436ACA">
            <w:pPr>
              <w:jc w:val="center"/>
              <w:rPr>
                <w:rFonts w:ascii="Arial" w:hAnsi="Arial" w:cs="Arial"/>
                <w:sz w:val="18"/>
                <w:szCs w:val="18"/>
              </w:rPr>
            </w:pPr>
            <w:r w:rsidRPr="00436ACA">
              <w:rPr>
                <w:rFonts w:ascii="Arial" w:hAnsi="Arial" w:cs="Arial"/>
                <w:sz w:val="18"/>
                <w:szCs w:val="18"/>
              </w:rPr>
              <w:t>DNA Part</w:t>
            </w:r>
          </w:p>
        </w:tc>
        <w:tc>
          <w:tcPr>
            <w:tcW w:w="1657" w:type="dxa"/>
            <w:vAlign w:val="center"/>
          </w:tcPr>
          <w:p w14:paraId="580BA61B" w14:textId="68D85C93" w:rsidR="00436ACA" w:rsidRPr="00436ACA" w:rsidRDefault="00436ACA" w:rsidP="00436ACA">
            <w:pPr>
              <w:jc w:val="center"/>
              <w:rPr>
                <w:rFonts w:ascii="Arial" w:hAnsi="Arial" w:cs="Arial"/>
                <w:sz w:val="18"/>
                <w:szCs w:val="18"/>
              </w:rPr>
            </w:pPr>
            <w:r w:rsidRPr="00436ACA">
              <w:rPr>
                <w:rFonts w:ascii="Arial" w:hAnsi="Arial" w:cs="Arial"/>
                <w:sz w:val="18"/>
                <w:szCs w:val="18"/>
              </w:rPr>
              <w:t>Concentration (ng/µL)</w:t>
            </w:r>
          </w:p>
        </w:tc>
        <w:tc>
          <w:tcPr>
            <w:tcW w:w="1106" w:type="dxa"/>
            <w:vAlign w:val="center"/>
          </w:tcPr>
          <w:p w14:paraId="51F02F14" w14:textId="2F6FBCED" w:rsidR="00436ACA" w:rsidRPr="00436ACA" w:rsidRDefault="00436ACA" w:rsidP="00436ACA">
            <w:pPr>
              <w:jc w:val="center"/>
              <w:rPr>
                <w:rFonts w:ascii="Arial" w:hAnsi="Arial" w:cs="Arial"/>
                <w:sz w:val="18"/>
                <w:szCs w:val="18"/>
              </w:rPr>
            </w:pPr>
            <w:r w:rsidRPr="00436ACA">
              <w:rPr>
                <w:rFonts w:ascii="Arial" w:hAnsi="Arial" w:cs="Arial"/>
                <w:sz w:val="18"/>
                <w:szCs w:val="18"/>
              </w:rPr>
              <w:t>Length</w:t>
            </w:r>
            <w:r w:rsidR="0045444B">
              <w:rPr>
                <w:rFonts w:ascii="Arial" w:hAnsi="Arial" w:cs="Arial"/>
                <w:sz w:val="18"/>
                <w:szCs w:val="18"/>
              </w:rPr>
              <w:t xml:space="preserve"> (bp)</w:t>
            </w:r>
          </w:p>
        </w:tc>
        <w:tc>
          <w:tcPr>
            <w:tcW w:w="1414" w:type="dxa"/>
            <w:vAlign w:val="center"/>
          </w:tcPr>
          <w:p w14:paraId="064AF7DF" w14:textId="77B5079C" w:rsidR="00436ACA" w:rsidRPr="00436ACA" w:rsidRDefault="00436ACA" w:rsidP="00436ACA">
            <w:pPr>
              <w:jc w:val="center"/>
              <w:rPr>
                <w:rFonts w:ascii="Arial" w:hAnsi="Arial" w:cs="Arial"/>
                <w:sz w:val="18"/>
                <w:szCs w:val="18"/>
              </w:rPr>
            </w:pPr>
            <w:r w:rsidRPr="00436ACA">
              <w:rPr>
                <w:rFonts w:ascii="Arial" w:hAnsi="Arial" w:cs="Arial"/>
                <w:sz w:val="18"/>
                <w:szCs w:val="18"/>
              </w:rPr>
              <w:t>Volume to Add (µL)</w:t>
            </w:r>
          </w:p>
        </w:tc>
        <w:tc>
          <w:tcPr>
            <w:tcW w:w="1127" w:type="dxa"/>
            <w:vAlign w:val="center"/>
          </w:tcPr>
          <w:p w14:paraId="0513E52E" w14:textId="77777777" w:rsidR="00436ACA" w:rsidRPr="00436ACA" w:rsidRDefault="00436ACA" w:rsidP="00436ACA">
            <w:pPr>
              <w:jc w:val="center"/>
              <w:rPr>
                <w:rFonts w:ascii="Arial" w:hAnsi="Arial" w:cs="Arial"/>
                <w:sz w:val="18"/>
                <w:szCs w:val="18"/>
              </w:rPr>
            </w:pPr>
          </w:p>
        </w:tc>
        <w:tc>
          <w:tcPr>
            <w:tcW w:w="1234" w:type="dxa"/>
            <w:vAlign w:val="center"/>
          </w:tcPr>
          <w:p w14:paraId="674BCDE8" w14:textId="1973E292" w:rsidR="00436ACA" w:rsidRPr="00436ACA" w:rsidRDefault="00436ACA" w:rsidP="00436ACA">
            <w:pPr>
              <w:jc w:val="center"/>
              <w:rPr>
                <w:rFonts w:ascii="Arial" w:hAnsi="Arial" w:cs="Arial"/>
                <w:sz w:val="18"/>
                <w:szCs w:val="18"/>
              </w:rPr>
            </w:pPr>
            <w:r>
              <w:rPr>
                <w:rFonts w:ascii="Arial" w:hAnsi="Arial" w:cs="Arial"/>
                <w:color w:val="000000"/>
                <w:sz w:val="18"/>
                <w:szCs w:val="18"/>
              </w:rPr>
              <w:t>M</w:t>
            </w:r>
            <w:r w:rsidRPr="00436ACA">
              <w:rPr>
                <w:rFonts w:ascii="Arial" w:hAnsi="Arial" w:cs="Arial"/>
                <w:color w:val="000000"/>
                <w:sz w:val="18"/>
                <w:szCs w:val="18"/>
              </w:rPr>
              <w:t xml:space="preserve">ass </w:t>
            </w:r>
            <w:r>
              <w:rPr>
                <w:rFonts w:ascii="Arial" w:hAnsi="Arial" w:cs="Arial"/>
                <w:color w:val="000000"/>
                <w:sz w:val="18"/>
                <w:szCs w:val="18"/>
              </w:rPr>
              <w:t>A</w:t>
            </w:r>
            <w:r w:rsidRPr="00436ACA">
              <w:rPr>
                <w:rFonts w:ascii="Arial" w:hAnsi="Arial" w:cs="Arial"/>
                <w:color w:val="000000"/>
                <w:sz w:val="18"/>
                <w:szCs w:val="18"/>
              </w:rPr>
              <w:t>dded (ng)</w:t>
            </w:r>
          </w:p>
        </w:tc>
        <w:tc>
          <w:tcPr>
            <w:tcW w:w="1234" w:type="dxa"/>
            <w:vAlign w:val="center"/>
          </w:tcPr>
          <w:p w14:paraId="62271FF6" w14:textId="7FC492B0" w:rsidR="00436ACA" w:rsidRPr="00436ACA" w:rsidRDefault="00436ACA" w:rsidP="00436ACA">
            <w:pPr>
              <w:jc w:val="center"/>
              <w:rPr>
                <w:rFonts w:ascii="Arial" w:hAnsi="Arial" w:cs="Arial"/>
                <w:sz w:val="18"/>
                <w:szCs w:val="18"/>
              </w:rPr>
            </w:pPr>
            <w:r w:rsidRPr="00436ACA">
              <w:rPr>
                <w:rFonts w:ascii="Arial" w:hAnsi="Arial" w:cs="Arial"/>
                <w:color w:val="000000"/>
                <w:sz w:val="18"/>
                <w:szCs w:val="18"/>
              </w:rPr>
              <w:t>Moles (</w:t>
            </w:r>
            <w:proofErr w:type="spellStart"/>
            <w:r w:rsidRPr="00436ACA">
              <w:rPr>
                <w:rFonts w:ascii="Arial" w:hAnsi="Arial" w:cs="Arial"/>
                <w:color w:val="000000"/>
                <w:sz w:val="18"/>
                <w:szCs w:val="18"/>
              </w:rPr>
              <w:t>pmols</w:t>
            </w:r>
            <w:proofErr w:type="spellEnd"/>
            <w:r w:rsidRPr="00436ACA">
              <w:rPr>
                <w:rFonts w:ascii="Arial" w:hAnsi="Arial" w:cs="Arial"/>
                <w:color w:val="000000"/>
                <w:sz w:val="18"/>
                <w:szCs w:val="18"/>
              </w:rPr>
              <w:t>)</w:t>
            </w:r>
          </w:p>
        </w:tc>
      </w:tr>
      <w:tr w:rsidR="00436ACA" w14:paraId="25A0CCBA" w14:textId="77777777" w:rsidTr="00436ACA">
        <w:tc>
          <w:tcPr>
            <w:tcW w:w="1578" w:type="dxa"/>
            <w:vAlign w:val="center"/>
          </w:tcPr>
          <w:p w14:paraId="722D664F" w14:textId="191000C2" w:rsidR="00436ACA" w:rsidRPr="00436ACA" w:rsidRDefault="00436ACA" w:rsidP="00436ACA">
            <w:pPr>
              <w:jc w:val="center"/>
              <w:rPr>
                <w:rFonts w:ascii="Arial" w:hAnsi="Arial" w:cs="Arial"/>
                <w:sz w:val="18"/>
                <w:szCs w:val="18"/>
              </w:rPr>
            </w:pPr>
            <w:r w:rsidRPr="00436ACA">
              <w:rPr>
                <w:rFonts w:ascii="Arial" w:hAnsi="Arial" w:cs="Arial"/>
                <w:sz w:val="18"/>
                <w:szCs w:val="18"/>
              </w:rPr>
              <w:t>Backbone</w:t>
            </w:r>
            <w:r w:rsidR="002F4A26">
              <w:rPr>
                <w:rFonts w:ascii="Arial" w:hAnsi="Arial" w:cs="Arial"/>
                <w:sz w:val="18"/>
                <w:szCs w:val="18"/>
              </w:rPr>
              <w:t xml:space="preserve"> DNA</w:t>
            </w:r>
          </w:p>
        </w:tc>
        <w:tc>
          <w:tcPr>
            <w:tcW w:w="1657" w:type="dxa"/>
            <w:vAlign w:val="center"/>
          </w:tcPr>
          <w:p w14:paraId="52BADF22" w14:textId="6ADBF8C4" w:rsidR="00436ACA" w:rsidRPr="00436ACA" w:rsidRDefault="00436ACA" w:rsidP="00436ACA">
            <w:pPr>
              <w:jc w:val="center"/>
              <w:rPr>
                <w:rFonts w:ascii="Arial" w:hAnsi="Arial" w:cs="Arial"/>
                <w:sz w:val="18"/>
                <w:szCs w:val="18"/>
              </w:rPr>
            </w:pPr>
            <w:r w:rsidRPr="00436ACA">
              <w:rPr>
                <w:rFonts w:ascii="Arial" w:hAnsi="Arial" w:cs="Arial"/>
                <w:color w:val="000000"/>
                <w:sz w:val="18"/>
                <w:szCs w:val="18"/>
              </w:rPr>
              <w:t>34.6</w:t>
            </w:r>
          </w:p>
        </w:tc>
        <w:tc>
          <w:tcPr>
            <w:tcW w:w="1106" w:type="dxa"/>
            <w:vAlign w:val="center"/>
          </w:tcPr>
          <w:p w14:paraId="660EEDB2" w14:textId="13E366B3" w:rsidR="00436ACA" w:rsidRPr="00436ACA" w:rsidRDefault="00436ACA" w:rsidP="00436ACA">
            <w:pPr>
              <w:jc w:val="center"/>
              <w:rPr>
                <w:rFonts w:ascii="Arial" w:hAnsi="Arial" w:cs="Arial"/>
                <w:sz w:val="18"/>
                <w:szCs w:val="18"/>
              </w:rPr>
            </w:pPr>
            <w:r w:rsidRPr="00436ACA">
              <w:rPr>
                <w:rFonts w:ascii="Arial" w:hAnsi="Arial" w:cs="Arial"/>
                <w:color w:val="000000"/>
                <w:sz w:val="18"/>
                <w:szCs w:val="18"/>
              </w:rPr>
              <w:t>4325</w:t>
            </w:r>
          </w:p>
        </w:tc>
        <w:tc>
          <w:tcPr>
            <w:tcW w:w="1414" w:type="dxa"/>
            <w:vAlign w:val="center"/>
          </w:tcPr>
          <w:p w14:paraId="65C1B767" w14:textId="15E79F4C" w:rsidR="00436ACA" w:rsidRPr="00436ACA" w:rsidRDefault="00436ACA" w:rsidP="00436ACA">
            <w:pPr>
              <w:jc w:val="center"/>
              <w:rPr>
                <w:rFonts w:ascii="Arial" w:hAnsi="Arial" w:cs="Arial"/>
                <w:sz w:val="18"/>
                <w:szCs w:val="18"/>
              </w:rPr>
            </w:pPr>
            <w:r w:rsidRPr="00436ACA">
              <w:rPr>
                <w:rFonts w:ascii="Arial" w:hAnsi="Arial" w:cs="Arial"/>
                <w:color w:val="000000"/>
                <w:sz w:val="18"/>
                <w:szCs w:val="18"/>
              </w:rPr>
              <w:t>2.89</w:t>
            </w:r>
          </w:p>
        </w:tc>
        <w:tc>
          <w:tcPr>
            <w:tcW w:w="1127" w:type="dxa"/>
            <w:vAlign w:val="center"/>
          </w:tcPr>
          <w:p w14:paraId="53A5E047" w14:textId="77777777" w:rsidR="00436ACA" w:rsidRPr="00436ACA" w:rsidRDefault="00436ACA" w:rsidP="00436ACA">
            <w:pPr>
              <w:jc w:val="center"/>
              <w:rPr>
                <w:rFonts w:ascii="Arial" w:hAnsi="Arial" w:cs="Arial"/>
                <w:sz w:val="18"/>
                <w:szCs w:val="18"/>
              </w:rPr>
            </w:pPr>
          </w:p>
        </w:tc>
        <w:tc>
          <w:tcPr>
            <w:tcW w:w="1234" w:type="dxa"/>
            <w:vAlign w:val="center"/>
          </w:tcPr>
          <w:p w14:paraId="1D99F948" w14:textId="3ABB45D6" w:rsidR="00436ACA" w:rsidRPr="00436ACA" w:rsidRDefault="00436ACA" w:rsidP="00436ACA">
            <w:pPr>
              <w:jc w:val="center"/>
              <w:rPr>
                <w:rFonts w:ascii="Arial" w:hAnsi="Arial" w:cs="Arial"/>
                <w:sz w:val="18"/>
                <w:szCs w:val="18"/>
              </w:rPr>
            </w:pPr>
            <w:r w:rsidRPr="00436ACA">
              <w:rPr>
                <w:rFonts w:ascii="Arial" w:hAnsi="Arial" w:cs="Arial"/>
                <w:color w:val="000000"/>
                <w:sz w:val="18"/>
                <w:szCs w:val="18"/>
              </w:rPr>
              <w:t>100</w:t>
            </w:r>
          </w:p>
        </w:tc>
        <w:tc>
          <w:tcPr>
            <w:tcW w:w="1234" w:type="dxa"/>
            <w:vAlign w:val="center"/>
          </w:tcPr>
          <w:p w14:paraId="36FD11CE" w14:textId="3D72EC52" w:rsidR="00436ACA" w:rsidRPr="00436ACA" w:rsidRDefault="00436ACA" w:rsidP="00436ACA">
            <w:pPr>
              <w:jc w:val="center"/>
              <w:rPr>
                <w:rFonts w:ascii="Arial" w:hAnsi="Arial" w:cs="Arial"/>
                <w:sz w:val="18"/>
                <w:szCs w:val="18"/>
              </w:rPr>
            </w:pPr>
            <w:r w:rsidRPr="00436ACA">
              <w:rPr>
                <w:rFonts w:ascii="Arial" w:hAnsi="Arial" w:cs="Arial"/>
                <w:color w:val="000000"/>
                <w:sz w:val="18"/>
                <w:szCs w:val="18"/>
              </w:rPr>
              <w:t>0.036</w:t>
            </w:r>
          </w:p>
        </w:tc>
      </w:tr>
      <w:tr w:rsidR="00436ACA" w14:paraId="7BF41AEA" w14:textId="77777777" w:rsidTr="00436ACA">
        <w:tc>
          <w:tcPr>
            <w:tcW w:w="1578" w:type="dxa"/>
            <w:vAlign w:val="center"/>
          </w:tcPr>
          <w:p w14:paraId="24DABA96" w14:textId="3E60B4BE" w:rsidR="00F536B7" w:rsidRPr="00436ACA" w:rsidRDefault="00F536B7" w:rsidP="00436ACA">
            <w:pPr>
              <w:jc w:val="center"/>
              <w:rPr>
                <w:rFonts w:ascii="Arial" w:hAnsi="Arial" w:cs="Arial"/>
                <w:sz w:val="18"/>
                <w:szCs w:val="18"/>
              </w:rPr>
            </w:pPr>
            <w:r w:rsidRPr="00436ACA">
              <w:rPr>
                <w:rFonts w:ascii="Arial" w:hAnsi="Arial" w:cs="Arial"/>
                <w:sz w:val="18"/>
                <w:szCs w:val="18"/>
              </w:rPr>
              <w:t>Enzyme</w:t>
            </w:r>
            <w:r w:rsidR="002F4A26">
              <w:rPr>
                <w:rFonts w:ascii="Arial" w:hAnsi="Arial" w:cs="Arial"/>
                <w:sz w:val="18"/>
                <w:szCs w:val="18"/>
              </w:rPr>
              <w:t xml:space="preserve"> insert</w:t>
            </w:r>
          </w:p>
        </w:tc>
        <w:tc>
          <w:tcPr>
            <w:tcW w:w="1657" w:type="dxa"/>
            <w:vAlign w:val="center"/>
          </w:tcPr>
          <w:p w14:paraId="7634DD1D" w14:textId="6E566F65" w:rsidR="00F536B7" w:rsidRPr="00436ACA" w:rsidRDefault="00F536B7" w:rsidP="00436ACA">
            <w:pPr>
              <w:jc w:val="center"/>
              <w:rPr>
                <w:rFonts w:ascii="Arial" w:hAnsi="Arial" w:cs="Arial"/>
                <w:sz w:val="18"/>
                <w:szCs w:val="18"/>
              </w:rPr>
            </w:pPr>
            <w:r w:rsidRPr="00436ACA">
              <w:rPr>
                <w:rFonts w:ascii="Arial" w:hAnsi="Arial" w:cs="Arial"/>
                <w:color w:val="000000"/>
                <w:sz w:val="18"/>
                <w:szCs w:val="18"/>
              </w:rPr>
              <w:t>40.3</w:t>
            </w:r>
          </w:p>
        </w:tc>
        <w:tc>
          <w:tcPr>
            <w:tcW w:w="1106" w:type="dxa"/>
            <w:vAlign w:val="center"/>
          </w:tcPr>
          <w:p w14:paraId="65138C75" w14:textId="04FC7107" w:rsidR="00F536B7" w:rsidRPr="00436ACA" w:rsidRDefault="00F536B7" w:rsidP="00436ACA">
            <w:pPr>
              <w:jc w:val="center"/>
              <w:rPr>
                <w:rFonts w:ascii="Arial" w:hAnsi="Arial" w:cs="Arial"/>
                <w:sz w:val="18"/>
                <w:szCs w:val="18"/>
              </w:rPr>
            </w:pPr>
            <w:r w:rsidRPr="00436ACA">
              <w:rPr>
                <w:rFonts w:ascii="Arial" w:hAnsi="Arial" w:cs="Arial"/>
                <w:color w:val="000000"/>
                <w:sz w:val="18"/>
                <w:szCs w:val="18"/>
              </w:rPr>
              <w:t>840</w:t>
            </w:r>
          </w:p>
        </w:tc>
        <w:tc>
          <w:tcPr>
            <w:tcW w:w="1414" w:type="dxa"/>
            <w:vAlign w:val="center"/>
          </w:tcPr>
          <w:p w14:paraId="3A004623" w14:textId="6388CC6B" w:rsidR="00F536B7" w:rsidRPr="00436ACA" w:rsidRDefault="00F536B7" w:rsidP="00436ACA">
            <w:pPr>
              <w:jc w:val="center"/>
              <w:rPr>
                <w:rFonts w:ascii="Arial" w:hAnsi="Arial" w:cs="Arial"/>
                <w:sz w:val="18"/>
                <w:szCs w:val="18"/>
              </w:rPr>
            </w:pPr>
            <w:r w:rsidRPr="00436ACA">
              <w:rPr>
                <w:rFonts w:ascii="Arial" w:hAnsi="Arial" w:cs="Arial"/>
                <w:color w:val="000000"/>
                <w:sz w:val="18"/>
                <w:szCs w:val="18"/>
              </w:rPr>
              <w:t>1.45</w:t>
            </w:r>
          </w:p>
        </w:tc>
        <w:tc>
          <w:tcPr>
            <w:tcW w:w="1127" w:type="dxa"/>
            <w:vAlign w:val="center"/>
          </w:tcPr>
          <w:p w14:paraId="378F7A31" w14:textId="77777777" w:rsidR="00F536B7" w:rsidRPr="00436ACA" w:rsidRDefault="00F536B7" w:rsidP="00436ACA">
            <w:pPr>
              <w:jc w:val="center"/>
              <w:rPr>
                <w:rFonts w:ascii="Arial" w:hAnsi="Arial" w:cs="Arial"/>
                <w:sz w:val="18"/>
                <w:szCs w:val="18"/>
              </w:rPr>
            </w:pPr>
          </w:p>
        </w:tc>
        <w:tc>
          <w:tcPr>
            <w:tcW w:w="1234" w:type="dxa"/>
            <w:vAlign w:val="center"/>
          </w:tcPr>
          <w:p w14:paraId="164F7C99" w14:textId="77777777" w:rsidR="00F536B7" w:rsidRPr="00436ACA" w:rsidRDefault="00F536B7" w:rsidP="00436ACA">
            <w:pPr>
              <w:jc w:val="center"/>
              <w:rPr>
                <w:rFonts w:ascii="Arial" w:hAnsi="Arial" w:cs="Arial"/>
                <w:sz w:val="18"/>
                <w:szCs w:val="18"/>
              </w:rPr>
            </w:pPr>
          </w:p>
        </w:tc>
        <w:tc>
          <w:tcPr>
            <w:tcW w:w="1234" w:type="dxa"/>
            <w:vAlign w:val="center"/>
          </w:tcPr>
          <w:p w14:paraId="026BC869" w14:textId="45BFDFA5" w:rsidR="00F536B7" w:rsidRPr="00436ACA" w:rsidRDefault="00436ACA" w:rsidP="00436ACA">
            <w:pPr>
              <w:jc w:val="center"/>
              <w:rPr>
                <w:rFonts w:ascii="Arial" w:hAnsi="Arial" w:cs="Arial"/>
                <w:color w:val="000000"/>
                <w:sz w:val="18"/>
                <w:szCs w:val="18"/>
              </w:rPr>
            </w:pPr>
            <w:r w:rsidRPr="00436ACA">
              <w:rPr>
                <w:rFonts w:ascii="Arial" w:hAnsi="Arial" w:cs="Arial"/>
                <w:color w:val="000000"/>
                <w:sz w:val="18"/>
                <w:szCs w:val="18"/>
              </w:rPr>
              <w:t>0.107</w:t>
            </w:r>
          </w:p>
        </w:tc>
      </w:tr>
      <w:tr w:rsidR="00436ACA" w14:paraId="15FDC64E" w14:textId="77777777" w:rsidTr="00436ACA">
        <w:tc>
          <w:tcPr>
            <w:tcW w:w="1578" w:type="dxa"/>
            <w:vAlign w:val="center"/>
          </w:tcPr>
          <w:p w14:paraId="5EB97ABE" w14:textId="428F3BC6" w:rsidR="00F536B7" w:rsidRPr="00436ACA" w:rsidRDefault="00F536B7" w:rsidP="00436ACA">
            <w:pPr>
              <w:jc w:val="center"/>
              <w:rPr>
                <w:rFonts w:ascii="Arial" w:hAnsi="Arial" w:cs="Arial"/>
                <w:sz w:val="18"/>
                <w:szCs w:val="18"/>
              </w:rPr>
            </w:pPr>
            <w:r w:rsidRPr="00436ACA">
              <w:rPr>
                <w:rFonts w:ascii="Arial" w:hAnsi="Arial" w:cs="Arial"/>
                <w:sz w:val="18"/>
                <w:szCs w:val="18"/>
              </w:rPr>
              <w:t>Water</w:t>
            </w:r>
          </w:p>
        </w:tc>
        <w:tc>
          <w:tcPr>
            <w:tcW w:w="1657" w:type="dxa"/>
            <w:vAlign w:val="center"/>
          </w:tcPr>
          <w:p w14:paraId="0CA6C5FC" w14:textId="297E90A4" w:rsidR="00F536B7" w:rsidRPr="00436ACA" w:rsidRDefault="00F536B7" w:rsidP="00436ACA">
            <w:pPr>
              <w:jc w:val="center"/>
              <w:rPr>
                <w:rFonts w:ascii="Arial" w:hAnsi="Arial" w:cs="Arial"/>
                <w:sz w:val="18"/>
                <w:szCs w:val="18"/>
              </w:rPr>
            </w:pPr>
            <w:r w:rsidRPr="00436ACA">
              <w:rPr>
                <w:rFonts w:ascii="Arial" w:hAnsi="Arial" w:cs="Arial"/>
                <w:sz w:val="18"/>
                <w:szCs w:val="18"/>
              </w:rPr>
              <w:t>N/A</w:t>
            </w:r>
          </w:p>
        </w:tc>
        <w:tc>
          <w:tcPr>
            <w:tcW w:w="1106" w:type="dxa"/>
            <w:vAlign w:val="center"/>
          </w:tcPr>
          <w:p w14:paraId="75060ACB" w14:textId="4839E462" w:rsidR="00F536B7" w:rsidRPr="00436ACA" w:rsidRDefault="00F536B7" w:rsidP="00436ACA">
            <w:pPr>
              <w:jc w:val="center"/>
              <w:rPr>
                <w:rFonts w:ascii="Arial" w:hAnsi="Arial" w:cs="Arial"/>
                <w:sz w:val="18"/>
                <w:szCs w:val="18"/>
              </w:rPr>
            </w:pPr>
            <w:r w:rsidRPr="00436ACA">
              <w:rPr>
                <w:rFonts w:ascii="Arial" w:hAnsi="Arial" w:cs="Arial"/>
                <w:sz w:val="18"/>
                <w:szCs w:val="18"/>
              </w:rPr>
              <w:t>N/A</w:t>
            </w:r>
          </w:p>
        </w:tc>
        <w:tc>
          <w:tcPr>
            <w:tcW w:w="1414" w:type="dxa"/>
            <w:vAlign w:val="center"/>
          </w:tcPr>
          <w:p w14:paraId="03D8FB12" w14:textId="25524CFB" w:rsidR="00F536B7" w:rsidRPr="00436ACA" w:rsidRDefault="00F536B7" w:rsidP="00436ACA">
            <w:pPr>
              <w:jc w:val="center"/>
              <w:rPr>
                <w:rFonts w:ascii="Arial" w:hAnsi="Arial" w:cs="Arial"/>
                <w:color w:val="000000"/>
                <w:sz w:val="18"/>
                <w:szCs w:val="18"/>
              </w:rPr>
            </w:pPr>
            <w:r w:rsidRPr="00436ACA">
              <w:rPr>
                <w:rFonts w:ascii="Arial" w:hAnsi="Arial" w:cs="Arial"/>
                <w:color w:val="000000"/>
                <w:sz w:val="18"/>
                <w:szCs w:val="18"/>
              </w:rPr>
              <w:t>5.66</w:t>
            </w:r>
          </w:p>
        </w:tc>
        <w:tc>
          <w:tcPr>
            <w:tcW w:w="1127" w:type="dxa"/>
            <w:vAlign w:val="center"/>
          </w:tcPr>
          <w:p w14:paraId="3624959D" w14:textId="77777777" w:rsidR="00F536B7" w:rsidRPr="00436ACA" w:rsidRDefault="00F536B7" w:rsidP="00436ACA">
            <w:pPr>
              <w:jc w:val="center"/>
              <w:rPr>
                <w:rFonts w:ascii="Arial" w:hAnsi="Arial" w:cs="Arial"/>
                <w:sz w:val="18"/>
                <w:szCs w:val="18"/>
              </w:rPr>
            </w:pPr>
          </w:p>
        </w:tc>
        <w:tc>
          <w:tcPr>
            <w:tcW w:w="1234" w:type="dxa"/>
            <w:vAlign w:val="center"/>
          </w:tcPr>
          <w:p w14:paraId="348C8B17" w14:textId="77777777" w:rsidR="00F536B7" w:rsidRPr="00436ACA" w:rsidRDefault="00F536B7" w:rsidP="00436ACA">
            <w:pPr>
              <w:jc w:val="center"/>
              <w:rPr>
                <w:rFonts w:ascii="Arial" w:hAnsi="Arial" w:cs="Arial"/>
                <w:sz w:val="18"/>
                <w:szCs w:val="18"/>
              </w:rPr>
            </w:pPr>
          </w:p>
        </w:tc>
        <w:tc>
          <w:tcPr>
            <w:tcW w:w="1234" w:type="dxa"/>
            <w:vAlign w:val="center"/>
          </w:tcPr>
          <w:p w14:paraId="0EC0D025" w14:textId="77777777" w:rsidR="00F536B7" w:rsidRPr="00436ACA" w:rsidRDefault="00F536B7" w:rsidP="00436ACA">
            <w:pPr>
              <w:jc w:val="center"/>
              <w:rPr>
                <w:rFonts w:ascii="Arial" w:hAnsi="Arial" w:cs="Arial"/>
                <w:sz w:val="18"/>
                <w:szCs w:val="18"/>
              </w:rPr>
            </w:pPr>
          </w:p>
        </w:tc>
      </w:tr>
      <w:tr w:rsidR="00436ACA" w14:paraId="5C37F377" w14:textId="77777777" w:rsidTr="00436ACA">
        <w:tc>
          <w:tcPr>
            <w:tcW w:w="1578" w:type="dxa"/>
            <w:vAlign w:val="center"/>
          </w:tcPr>
          <w:p w14:paraId="43AD4DEA" w14:textId="0D209BDF" w:rsidR="00F536B7" w:rsidRPr="00436ACA" w:rsidRDefault="00436ACA" w:rsidP="00436ACA">
            <w:pPr>
              <w:jc w:val="center"/>
              <w:rPr>
                <w:rFonts w:ascii="Arial" w:hAnsi="Arial" w:cs="Arial"/>
                <w:sz w:val="18"/>
                <w:szCs w:val="18"/>
              </w:rPr>
            </w:pPr>
            <w:r w:rsidRPr="00436ACA">
              <w:rPr>
                <w:rFonts w:ascii="Arial" w:hAnsi="Arial" w:cs="Arial"/>
                <w:sz w:val="18"/>
                <w:szCs w:val="18"/>
              </w:rPr>
              <w:t>Gibson Assembly Buffer</w:t>
            </w:r>
          </w:p>
        </w:tc>
        <w:tc>
          <w:tcPr>
            <w:tcW w:w="1657" w:type="dxa"/>
            <w:vAlign w:val="center"/>
          </w:tcPr>
          <w:p w14:paraId="6A92F0F5" w14:textId="3E49D8AC" w:rsidR="00F536B7" w:rsidRPr="00436ACA" w:rsidRDefault="00436ACA" w:rsidP="00436ACA">
            <w:pPr>
              <w:jc w:val="center"/>
              <w:rPr>
                <w:rFonts w:ascii="Arial" w:hAnsi="Arial" w:cs="Arial"/>
                <w:sz w:val="18"/>
                <w:szCs w:val="18"/>
              </w:rPr>
            </w:pPr>
            <w:r w:rsidRPr="00436ACA">
              <w:rPr>
                <w:rFonts w:ascii="Arial" w:hAnsi="Arial" w:cs="Arial"/>
                <w:sz w:val="18"/>
                <w:szCs w:val="18"/>
              </w:rPr>
              <w:t>N/A</w:t>
            </w:r>
          </w:p>
        </w:tc>
        <w:tc>
          <w:tcPr>
            <w:tcW w:w="1106" w:type="dxa"/>
            <w:vAlign w:val="center"/>
          </w:tcPr>
          <w:p w14:paraId="2232D6E0" w14:textId="5C90D246" w:rsidR="00F536B7" w:rsidRPr="00436ACA" w:rsidRDefault="00436ACA" w:rsidP="00436ACA">
            <w:pPr>
              <w:jc w:val="center"/>
              <w:rPr>
                <w:rFonts w:ascii="Arial" w:hAnsi="Arial" w:cs="Arial"/>
                <w:sz w:val="18"/>
                <w:szCs w:val="18"/>
              </w:rPr>
            </w:pPr>
            <w:r w:rsidRPr="00436ACA">
              <w:rPr>
                <w:rFonts w:ascii="Arial" w:hAnsi="Arial" w:cs="Arial"/>
                <w:sz w:val="18"/>
                <w:szCs w:val="18"/>
              </w:rPr>
              <w:t>N/A</w:t>
            </w:r>
          </w:p>
        </w:tc>
        <w:tc>
          <w:tcPr>
            <w:tcW w:w="1414" w:type="dxa"/>
            <w:vAlign w:val="center"/>
          </w:tcPr>
          <w:p w14:paraId="136A0A1F" w14:textId="6743196E" w:rsidR="00F536B7" w:rsidRPr="00436ACA" w:rsidRDefault="00436ACA" w:rsidP="00436ACA">
            <w:pPr>
              <w:jc w:val="center"/>
              <w:rPr>
                <w:rFonts w:ascii="Arial" w:hAnsi="Arial" w:cs="Arial"/>
                <w:sz w:val="18"/>
                <w:szCs w:val="18"/>
              </w:rPr>
            </w:pPr>
            <w:r w:rsidRPr="00436ACA">
              <w:rPr>
                <w:rFonts w:ascii="Arial" w:hAnsi="Arial" w:cs="Arial"/>
                <w:sz w:val="18"/>
                <w:szCs w:val="18"/>
              </w:rPr>
              <w:t>10</w:t>
            </w:r>
          </w:p>
        </w:tc>
        <w:tc>
          <w:tcPr>
            <w:tcW w:w="1127" w:type="dxa"/>
            <w:vAlign w:val="center"/>
          </w:tcPr>
          <w:p w14:paraId="66130A52" w14:textId="77777777" w:rsidR="00F536B7" w:rsidRPr="00436ACA" w:rsidRDefault="00F536B7" w:rsidP="00436ACA">
            <w:pPr>
              <w:jc w:val="center"/>
              <w:rPr>
                <w:rFonts w:ascii="Arial" w:hAnsi="Arial" w:cs="Arial"/>
                <w:sz w:val="18"/>
                <w:szCs w:val="18"/>
              </w:rPr>
            </w:pPr>
          </w:p>
        </w:tc>
        <w:tc>
          <w:tcPr>
            <w:tcW w:w="1234" w:type="dxa"/>
            <w:vAlign w:val="center"/>
          </w:tcPr>
          <w:p w14:paraId="037FDB70" w14:textId="77777777" w:rsidR="00F536B7" w:rsidRPr="00436ACA" w:rsidRDefault="00F536B7" w:rsidP="00436ACA">
            <w:pPr>
              <w:jc w:val="center"/>
              <w:rPr>
                <w:rFonts w:ascii="Arial" w:hAnsi="Arial" w:cs="Arial"/>
                <w:sz w:val="18"/>
                <w:szCs w:val="18"/>
              </w:rPr>
            </w:pPr>
          </w:p>
        </w:tc>
        <w:tc>
          <w:tcPr>
            <w:tcW w:w="1234" w:type="dxa"/>
            <w:vAlign w:val="center"/>
          </w:tcPr>
          <w:p w14:paraId="5B11FD86" w14:textId="77777777" w:rsidR="00F536B7" w:rsidRPr="00436ACA" w:rsidRDefault="00F536B7" w:rsidP="00436ACA">
            <w:pPr>
              <w:jc w:val="center"/>
              <w:rPr>
                <w:rFonts w:ascii="Arial" w:hAnsi="Arial" w:cs="Arial"/>
                <w:sz w:val="18"/>
                <w:szCs w:val="18"/>
              </w:rPr>
            </w:pPr>
          </w:p>
        </w:tc>
      </w:tr>
    </w:tbl>
    <w:p w14:paraId="50DB1BFC" w14:textId="77777777" w:rsidR="008C12BB" w:rsidRDefault="008C12BB" w:rsidP="00B873CC">
      <w:pPr>
        <w:spacing w:line="240" w:lineRule="auto"/>
        <w:rPr>
          <w:rFonts w:ascii="Arial" w:hAnsi="Arial" w:cs="Arial"/>
        </w:rPr>
      </w:pPr>
    </w:p>
    <w:p w14:paraId="6675C499" w14:textId="6C1AF62D" w:rsidR="008C12BB" w:rsidRDefault="008C12BB" w:rsidP="00B873CC">
      <w:pPr>
        <w:spacing w:line="240" w:lineRule="auto"/>
        <w:rPr>
          <w:rFonts w:ascii="Arial" w:hAnsi="Arial" w:cs="Arial"/>
          <w:b/>
          <w:bCs/>
        </w:rPr>
      </w:pPr>
      <w:r>
        <w:rPr>
          <w:rFonts w:ascii="Arial" w:hAnsi="Arial" w:cs="Arial"/>
          <w:b/>
          <w:bCs/>
        </w:rPr>
        <w:t>Experimental Outcomes and Example Images</w:t>
      </w:r>
    </w:p>
    <w:p w14:paraId="308D92F1" w14:textId="5B42D439" w:rsidR="008C12BB" w:rsidRDefault="008C12BB" w:rsidP="00B873CC">
      <w:pPr>
        <w:spacing w:line="240" w:lineRule="auto"/>
        <w:rPr>
          <w:rFonts w:ascii="Arial" w:hAnsi="Arial" w:cs="Arial"/>
        </w:rPr>
      </w:pPr>
      <w:r>
        <w:rPr>
          <w:rFonts w:ascii="Arial" w:hAnsi="Arial" w:cs="Arial"/>
        </w:rPr>
        <w:t xml:space="preserve">These experimental outcomes are purely hypothetical and do not reflect a real experiment. It should not be cited, used, or interpreted in any way. It is solely for training exercise. </w:t>
      </w:r>
    </w:p>
    <w:p w14:paraId="058D5A9D" w14:textId="77777777" w:rsidR="008C12BB" w:rsidRDefault="008C12BB" w:rsidP="00B873CC">
      <w:pPr>
        <w:spacing w:line="240" w:lineRule="auto"/>
        <w:rPr>
          <w:rFonts w:ascii="Arial" w:hAnsi="Arial" w:cs="Arial"/>
        </w:rPr>
      </w:pPr>
    </w:p>
    <w:p w14:paraId="5DF44C91" w14:textId="1B2A074D" w:rsidR="00FA5780" w:rsidRDefault="00FA5780" w:rsidP="00FA5780">
      <w:pPr>
        <w:spacing w:line="240" w:lineRule="auto"/>
        <w:jc w:val="center"/>
        <w:rPr>
          <w:rFonts w:ascii="Arial" w:hAnsi="Arial" w:cs="Arial"/>
        </w:rPr>
      </w:pPr>
      <w:r>
        <w:rPr>
          <w:rFonts w:ascii="Arial" w:hAnsi="Arial" w:cs="Arial"/>
          <w:noProof/>
        </w:rPr>
        <w:drawing>
          <wp:inline distT="0" distB="0" distL="0" distR="0" wp14:anchorId="1D4BAD1A" wp14:editId="7520F616">
            <wp:extent cx="2581275" cy="3893185"/>
            <wp:effectExtent l="0" t="0" r="9525" b="0"/>
            <wp:docPr id="10198834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81275" cy="3893185"/>
                    </a:xfrm>
                    <a:prstGeom prst="rect">
                      <a:avLst/>
                    </a:prstGeom>
                    <a:noFill/>
                    <a:ln>
                      <a:noFill/>
                    </a:ln>
                  </pic:spPr>
                </pic:pic>
              </a:graphicData>
            </a:graphic>
          </wp:inline>
        </w:drawing>
      </w:r>
    </w:p>
    <w:p w14:paraId="37361989" w14:textId="5F51DFD9" w:rsidR="008C12BB" w:rsidRDefault="008C12BB" w:rsidP="00B873CC">
      <w:pPr>
        <w:spacing w:line="240" w:lineRule="auto"/>
        <w:rPr>
          <w:rFonts w:ascii="Arial" w:hAnsi="Arial" w:cs="Arial"/>
        </w:rPr>
      </w:pPr>
      <w:r>
        <w:rPr>
          <w:rFonts w:ascii="Arial" w:hAnsi="Arial" w:cs="Arial"/>
          <w:b/>
          <w:bCs/>
        </w:rPr>
        <w:t xml:space="preserve">Figure 1. </w:t>
      </w:r>
      <w:r w:rsidRPr="008C12BB">
        <w:rPr>
          <w:rFonts w:ascii="Arial" w:hAnsi="Arial" w:cs="Arial"/>
        </w:rPr>
        <w:t>Simulated Agarose Gel of PCR Products used in the Gibson Assembly</w:t>
      </w:r>
    </w:p>
    <w:p w14:paraId="247763A9" w14:textId="3442F307" w:rsidR="00FA5780" w:rsidRDefault="00FA5780" w:rsidP="00FA5780">
      <w:pPr>
        <w:spacing w:line="240" w:lineRule="auto"/>
        <w:jc w:val="center"/>
        <w:rPr>
          <w:rFonts w:ascii="Arial" w:hAnsi="Arial" w:cs="Arial"/>
          <w:b/>
          <w:bCs/>
        </w:rPr>
      </w:pPr>
      <w:r>
        <w:rPr>
          <w:rFonts w:ascii="Arial" w:hAnsi="Arial" w:cs="Arial"/>
          <w:b/>
          <w:bCs/>
          <w:noProof/>
        </w:rPr>
        <w:lastRenderedPageBreak/>
        <w:drawing>
          <wp:inline distT="0" distB="0" distL="0" distR="0" wp14:anchorId="60AE0704" wp14:editId="4F1CC1A0">
            <wp:extent cx="3680460" cy="1701011"/>
            <wp:effectExtent l="0" t="0" r="0" b="0"/>
            <wp:docPr id="3453378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54241"/>
                    <a:stretch/>
                  </pic:blipFill>
                  <pic:spPr bwMode="auto">
                    <a:xfrm>
                      <a:off x="0" y="0"/>
                      <a:ext cx="3680460" cy="1701011"/>
                    </a:xfrm>
                    <a:prstGeom prst="rect">
                      <a:avLst/>
                    </a:prstGeom>
                    <a:noFill/>
                    <a:ln>
                      <a:noFill/>
                    </a:ln>
                    <a:extLst>
                      <a:ext uri="{53640926-AAD7-44D8-BBD7-CCE9431645EC}">
                        <a14:shadowObscured xmlns:a14="http://schemas.microsoft.com/office/drawing/2010/main"/>
                      </a:ext>
                    </a:extLst>
                  </pic:spPr>
                </pic:pic>
              </a:graphicData>
            </a:graphic>
          </wp:inline>
        </w:drawing>
      </w:r>
    </w:p>
    <w:p w14:paraId="6554DD8B" w14:textId="56FA9CD0" w:rsidR="008C12BB" w:rsidRDefault="008C12BB" w:rsidP="00B873CC">
      <w:pPr>
        <w:spacing w:line="240" w:lineRule="auto"/>
        <w:rPr>
          <w:rFonts w:ascii="Arial" w:hAnsi="Arial" w:cs="Arial"/>
        </w:rPr>
      </w:pPr>
      <w:r>
        <w:rPr>
          <w:rFonts w:ascii="Arial" w:hAnsi="Arial" w:cs="Arial"/>
          <w:b/>
          <w:bCs/>
        </w:rPr>
        <w:t xml:space="preserve">Figure 2. </w:t>
      </w:r>
      <w:r>
        <w:rPr>
          <w:rFonts w:ascii="Arial" w:hAnsi="Arial" w:cs="Arial"/>
        </w:rPr>
        <w:t>Images of plates containing Gibson Assembly products transformed into D</w:t>
      </w:r>
      <w:r w:rsidR="00B95974">
        <w:rPr>
          <w:rFonts w:ascii="Arial" w:hAnsi="Arial" w:cs="Arial"/>
        </w:rPr>
        <w:t>H</w:t>
      </w:r>
      <w:r>
        <w:rPr>
          <w:rFonts w:ascii="Arial" w:hAnsi="Arial" w:cs="Arial"/>
        </w:rPr>
        <w:t>5α cells</w:t>
      </w:r>
    </w:p>
    <w:p w14:paraId="57A2196D" w14:textId="0979E030" w:rsidR="00FA5780" w:rsidRDefault="00FA5780" w:rsidP="00B873CC">
      <w:pPr>
        <w:spacing w:line="240" w:lineRule="auto"/>
        <w:rPr>
          <w:rFonts w:ascii="Arial" w:hAnsi="Arial" w:cs="Arial"/>
        </w:rPr>
      </w:pPr>
      <w:r>
        <w:rPr>
          <w:rFonts w:ascii="Arial" w:hAnsi="Arial" w:cs="Arial"/>
          <w:b/>
          <w:bCs/>
        </w:rPr>
        <w:t>Transformation Sample List</w:t>
      </w:r>
    </w:p>
    <w:p w14:paraId="714F8B4C" w14:textId="161316BD" w:rsidR="00FA5780" w:rsidRDefault="00612188" w:rsidP="00612188">
      <w:pPr>
        <w:pStyle w:val="ListParagraph"/>
        <w:numPr>
          <w:ilvl w:val="0"/>
          <w:numId w:val="4"/>
        </w:numPr>
        <w:spacing w:line="240" w:lineRule="auto"/>
        <w:rPr>
          <w:rFonts w:ascii="Arial" w:hAnsi="Arial" w:cs="Arial"/>
        </w:rPr>
      </w:pPr>
      <w:r>
        <w:rPr>
          <w:rFonts w:ascii="Arial" w:hAnsi="Arial" w:cs="Arial"/>
        </w:rPr>
        <w:t xml:space="preserve">Negative Control Plate – Backbone plasmid that has been </w:t>
      </w:r>
      <w:r w:rsidR="005A00C1">
        <w:rPr>
          <w:rFonts w:ascii="Arial" w:hAnsi="Arial" w:cs="Arial"/>
        </w:rPr>
        <w:t xml:space="preserve">enzymatically </w:t>
      </w:r>
      <w:r>
        <w:rPr>
          <w:rFonts w:ascii="Arial" w:hAnsi="Arial" w:cs="Arial"/>
        </w:rPr>
        <w:t xml:space="preserve">degraded by </w:t>
      </w:r>
      <w:proofErr w:type="spellStart"/>
      <w:r>
        <w:rPr>
          <w:rFonts w:ascii="Arial" w:hAnsi="Arial" w:cs="Arial"/>
        </w:rPr>
        <w:t>DnpI</w:t>
      </w:r>
      <w:proofErr w:type="spellEnd"/>
      <w:r>
        <w:rPr>
          <w:rFonts w:ascii="Arial" w:hAnsi="Arial" w:cs="Arial"/>
        </w:rPr>
        <w:t xml:space="preserve"> </w:t>
      </w:r>
    </w:p>
    <w:p w14:paraId="547CFDCE" w14:textId="199C14C8" w:rsidR="00612188" w:rsidRPr="00612188" w:rsidRDefault="00612188" w:rsidP="00612188">
      <w:pPr>
        <w:pStyle w:val="ListParagraph"/>
        <w:numPr>
          <w:ilvl w:val="0"/>
          <w:numId w:val="4"/>
        </w:numPr>
        <w:spacing w:line="240" w:lineRule="auto"/>
        <w:rPr>
          <w:rFonts w:ascii="Arial" w:hAnsi="Arial" w:cs="Arial"/>
        </w:rPr>
      </w:pPr>
      <w:r>
        <w:rPr>
          <w:rFonts w:ascii="Arial" w:hAnsi="Arial" w:cs="Arial"/>
        </w:rPr>
        <w:t>Gibson Assembly Reaction – Prepared as outlined in Table 1</w:t>
      </w:r>
    </w:p>
    <w:p w14:paraId="2BF01EE5" w14:textId="42C9E6B9" w:rsidR="008C12BB" w:rsidRDefault="008C12BB" w:rsidP="00B873CC">
      <w:pPr>
        <w:spacing w:line="240" w:lineRule="auto"/>
        <w:rPr>
          <w:rFonts w:ascii="Arial" w:hAnsi="Arial" w:cs="Arial"/>
          <w:b/>
          <w:bCs/>
        </w:rPr>
      </w:pPr>
      <w:r>
        <w:rPr>
          <w:rFonts w:ascii="Arial" w:hAnsi="Arial" w:cs="Arial"/>
          <w:b/>
          <w:bCs/>
        </w:rPr>
        <w:t xml:space="preserve">Details: </w:t>
      </w:r>
    </w:p>
    <w:p w14:paraId="69371E98" w14:textId="687038CE" w:rsidR="004148B1" w:rsidRDefault="004148B1" w:rsidP="008C12BB">
      <w:pPr>
        <w:pStyle w:val="ListParagraph"/>
        <w:numPr>
          <w:ilvl w:val="0"/>
          <w:numId w:val="3"/>
        </w:numPr>
        <w:spacing w:line="240" w:lineRule="auto"/>
        <w:rPr>
          <w:rFonts w:ascii="Arial" w:hAnsi="Arial" w:cs="Arial"/>
        </w:rPr>
      </w:pPr>
      <w:r>
        <w:rPr>
          <w:rFonts w:ascii="Arial" w:hAnsi="Arial" w:cs="Arial"/>
        </w:rPr>
        <w:t>The PCR products shown in Figure 1 are of the expected sizes</w:t>
      </w:r>
    </w:p>
    <w:p w14:paraId="1C1BFA61" w14:textId="0F98851B" w:rsidR="008C12BB" w:rsidRDefault="004148B1" w:rsidP="008C12BB">
      <w:pPr>
        <w:pStyle w:val="ListParagraph"/>
        <w:numPr>
          <w:ilvl w:val="0"/>
          <w:numId w:val="3"/>
        </w:numPr>
        <w:spacing w:line="240" w:lineRule="auto"/>
        <w:rPr>
          <w:rFonts w:ascii="Arial" w:hAnsi="Arial" w:cs="Arial"/>
        </w:rPr>
      </w:pPr>
      <w:r>
        <w:rPr>
          <w:rFonts w:ascii="Arial" w:hAnsi="Arial" w:cs="Arial"/>
        </w:rPr>
        <w:t xml:space="preserve">Main </w:t>
      </w:r>
      <w:r w:rsidR="008C12BB">
        <w:rPr>
          <w:rFonts w:ascii="Arial" w:hAnsi="Arial" w:cs="Arial"/>
        </w:rPr>
        <w:t>Components of the Gibson Assembly Buffer</w:t>
      </w:r>
    </w:p>
    <w:p w14:paraId="2E3E75D5" w14:textId="2009A61F" w:rsidR="008C12BB" w:rsidRDefault="004148B1" w:rsidP="008C12BB">
      <w:pPr>
        <w:pStyle w:val="ListParagraph"/>
        <w:numPr>
          <w:ilvl w:val="1"/>
          <w:numId w:val="3"/>
        </w:numPr>
        <w:spacing w:line="240" w:lineRule="auto"/>
        <w:rPr>
          <w:rFonts w:ascii="Arial" w:hAnsi="Arial" w:cs="Arial"/>
        </w:rPr>
      </w:pPr>
      <w:r>
        <w:rPr>
          <w:rFonts w:ascii="Arial" w:hAnsi="Arial" w:cs="Arial"/>
        </w:rPr>
        <w:t>5x Isothermal Buffer (Cold Spring Harbor Protocols)</w:t>
      </w:r>
    </w:p>
    <w:p w14:paraId="5CAFE5D4" w14:textId="67994744" w:rsidR="004148B1" w:rsidRDefault="004148B1" w:rsidP="008C12BB">
      <w:pPr>
        <w:pStyle w:val="ListParagraph"/>
        <w:numPr>
          <w:ilvl w:val="1"/>
          <w:numId w:val="3"/>
        </w:numPr>
        <w:spacing w:line="240" w:lineRule="auto"/>
        <w:rPr>
          <w:rFonts w:ascii="Arial" w:hAnsi="Arial" w:cs="Arial"/>
        </w:rPr>
      </w:pPr>
      <w:r>
        <w:rPr>
          <w:rFonts w:ascii="Arial" w:hAnsi="Arial" w:cs="Arial"/>
        </w:rPr>
        <w:t>NEB T5 Exonuclease (M0663L)</w:t>
      </w:r>
    </w:p>
    <w:p w14:paraId="21B494B5" w14:textId="746F4410" w:rsidR="004148B1" w:rsidRDefault="004148B1" w:rsidP="008C12BB">
      <w:pPr>
        <w:pStyle w:val="ListParagraph"/>
        <w:numPr>
          <w:ilvl w:val="1"/>
          <w:numId w:val="3"/>
        </w:numPr>
        <w:spacing w:line="240" w:lineRule="auto"/>
        <w:rPr>
          <w:rFonts w:ascii="Arial" w:hAnsi="Arial" w:cs="Arial"/>
        </w:rPr>
      </w:pPr>
      <w:r>
        <w:rPr>
          <w:rFonts w:ascii="Arial" w:hAnsi="Arial" w:cs="Arial"/>
        </w:rPr>
        <w:t>NEB Phusion High-Fidelity DNA Polymerase (M0350L)</w:t>
      </w:r>
    </w:p>
    <w:p w14:paraId="26802B05" w14:textId="283FC1D7" w:rsidR="004148B1" w:rsidRDefault="004148B1" w:rsidP="008C12BB">
      <w:pPr>
        <w:pStyle w:val="ListParagraph"/>
        <w:numPr>
          <w:ilvl w:val="1"/>
          <w:numId w:val="3"/>
        </w:numPr>
        <w:spacing w:line="240" w:lineRule="auto"/>
        <w:rPr>
          <w:rFonts w:ascii="Arial" w:hAnsi="Arial" w:cs="Arial"/>
        </w:rPr>
      </w:pPr>
      <w:r>
        <w:rPr>
          <w:rFonts w:ascii="Arial" w:hAnsi="Arial" w:cs="Arial"/>
        </w:rPr>
        <w:t>NEB T4 DNA Ligase (MS0202T)</w:t>
      </w:r>
    </w:p>
    <w:p w14:paraId="288445D8" w14:textId="6D708B88" w:rsidR="004148B1" w:rsidRDefault="004148B1" w:rsidP="008C12BB">
      <w:pPr>
        <w:pStyle w:val="ListParagraph"/>
        <w:numPr>
          <w:ilvl w:val="1"/>
          <w:numId w:val="3"/>
        </w:numPr>
        <w:spacing w:line="240" w:lineRule="auto"/>
        <w:rPr>
          <w:rFonts w:ascii="Arial" w:hAnsi="Arial" w:cs="Arial"/>
        </w:rPr>
      </w:pPr>
      <w:r>
        <w:rPr>
          <w:rFonts w:ascii="Arial" w:hAnsi="Arial" w:cs="Arial"/>
        </w:rPr>
        <w:t>DI H</w:t>
      </w:r>
      <w:r>
        <w:rPr>
          <w:rFonts w:ascii="Arial" w:hAnsi="Arial" w:cs="Arial"/>
          <w:vertAlign w:val="subscript"/>
        </w:rPr>
        <w:t>2</w:t>
      </w:r>
      <w:r>
        <w:rPr>
          <w:rFonts w:ascii="Arial" w:hAnsi="Arial" w:cs="Arial"/>
        </w:rPr>
        <w:t>O</w:t>
      </w:r>
    </w:p>
    <w:p w14:paraId="6F9B7043" w14:textId="0A646BCA" w:rsidR="004148B1" w:rsidRDefault="004148B1" w:rsidP="004148B1">
      <w:pPr>
        <w:pStyle w:val="ListParagraph"/>
        <w:numPr>
          <w:ilvl w:val="0"/>
          <w:numId w:val="3"/>
        </w:numPr>
        <w:spacing w:line="240" w:lineRule="auto"/>
        <w:rPr>
          <w:rFonts w:ascii="Arial" w:hAnsi="Arial" w:cs="Arial"/>
        </w:rPr>
      </w:pPr>
      <w:r>
        <w:rPr>
          <w:rFonts w:ascii="Arial" w:hAnsi="Arial" w:cs="Arial"/>
        </w:rPr>
        <w:t>Gibson Assembly reaction buffer aliquots and all components of the buffer must be stored at -20°C, excluding the DI H</w:t>
      </w:r>
      <w:r>
        <w:rPr>
          <w:rFonts w:ascii="Arial" w:hAnsi="Arial" w:cs="Arial"/>
          <w:vertAlign w:val="subscript"/>
        </w:rPr>
        <w:t>2</w:t>
      </w:r>
      <w:r>
        <w:rPr>
          <w:rFonts w:ascii="Arial" w:hAnsi="Arial" w:cs="Arial"/>
        </w:rPr>
        <w:t>O</w:t>
      </w:r>
    </w:p>
    <w:p w14:paraId="42EA4297" w14:textId="30097419" w:rsidR="004148B1" w:rsidRDefault="004148B1" w:rsidP="004148B1">
      <w:pPr>
        <w:pStyle w:val="ListParagraph"/>
        <w:numPr>
          <w:ilvl w:val="0"/>
          <w:numId w:val="3"/>
        </w:numPr>
        <w:spacing w:line="240" w:lineRule="auto"/>
        <w:rPr>
          <w:rFonts w:ascii="Arial" w:hAnsi="Arial" w:cs="Arial"/>
        </w:rPr>
      </w:pPr>
      <w:r>
        <w:rPr>
          <w:rFonts w:ascii="Arial" w:hAnsi="Arial" w:cs="Arial"/>
        </w:rPr>
        <w:t>Aliquots can be freeze-thawed multiple times and still be viable</w:t>
      </w:r>
    </w:p>
    <w:p w14:paraId="0CAD86AB" w14:textId="7E2742BD" w:rsidR="004148B1" w:rsidRDefault="004148B1" w:rsidP="004148B1">
      <w:pPr>
        <w:spacing w:after="0" w:line="240" w:lineRule="auto"/>
        <w:rPr>
          <w:rFonts w:ascii="Arial" w:hAnsi="Arial" w:cs="Arial"/>
        </w:rPr>
      </w:pPr>
      <w:r>
        <w:rPr>
          <w:rFonts w:ascii="Arial" w:hAnsi="Arial" w:cs="Arial"/>
          <w:b/>
          <w:bCs/>
        </w:rPr>
        <w:t>Source of Error:</w:t>
      </w:r>
    </w:p>
    <w:p w14:paraId="5ECD4FEE" w14:textId="326A5FAE" w:rsidR="004148B1" w:rsidRDefault="004148B1" w:rsidP="004148B1">
      <w:pPr>
        <w:spacing w:line="240" w:lineRule="auto"/>
        <w:jc w:val="both"/>
        <w:rPr>
          <w:rFonts w:ascii="Arial" w:hAnsi="Arial" w:cs="Arial"/>
        </w:rPr>
      </w:pPr>
      <w:r>
        <w:rPr>
          <w:rFonts w:ascii="Arial" w:hAnsi="Arial" w:cs="Arial"/>
        </w:rPr>
        <w:t xml:space="preserve">The T5 Exonuclease </w:t>
      </w:r>
      <w:r w:rsidR="003F5FE9">
        <w:rPr>
          <w:rFonts w:ascii="Arial" w:hAnsi="Arial" w:cs="Arial"/>
        </w:rPr>
        <w:t xml:space="preserve">was </w:t>
      </w:r>
      <w:r w:rsidR="00AC5A4A">
        <w:rPr>
          <w:rFonts w:ascii="Arial" w:hAnsi="Arial" w:cs="Arial"/>
        </w:rPr>
        <w:t>inactivated</w:t>
      </w:r>
      <w:r w:rsidR="003F5FE9">
        <w:rPr>
          <w:rFonts w:ascii="Arial" w:hAnsi="Arial" w:cs="Arial"/>
        </w:rPr>
        <w:t xml:space="preserve"> due to the Buffer being left out for about an hour when being used for a Gibson Assembly </w:t>
      </w:r>
      <w:r w:rsidR="00AC5A4A">
        <w:rPr>
          <w:rFonts w:ascii="Arial" w:hAnsi="Arial" w:cs="Arial"/>
        </w:rPr>
        <w:t>over the weekend</w:t>
      </w:r>
      <w:r>
        <w:rPr>
          <w:rFonts w:ascii="Arial" w:hAnsi="Arial" w:cs="Arial"/>
        </w:rPr>
        <w:t>. The T5 Exonuclease was left at room temperature for too long, which caused the enzyme to effectively expire. Since the Gibson Assembly Buffer utilizes commercial enzymes, these can be extremely temperature sensitive and can become inactive if not handled properly. The inactive T5 Exonuclease does not chew back the ends of the PCR fragments meaning the single-stranded ends are not generated, and thus cannot be synthesized by the polymerase. Therefore, no full plasmids are assembled, leading to no colony formation when grown on LB + Antibiotic Aga</w:t>
      </w:r>
      <w:r w:rsidR="00F536B7">
        <w:rPr>
          <w:rFonts w:ascii="Arial" w:hAnsi="Arial" w:cs="Arial"/>
        </w:rPr>
        <w:t>r</w:t>
      </w:r>
      <w:r>
        <w:rPr>
          <w:rFonts w:ascii="Arial" w:hAnsi="Arial" w:cs="Arial"/>
        </w:rPr>
        <w:t xml:space="preserve"> plates.</w:t>
      </w:r>
    </w:p>
    <w:p w14:paraId="749A8AEB" w14:textId="77777777" w:rsidR="00671F20" w:rsidRDefault="00671F20" w:rsidP="00671F20">
      <w:pPr>
        <w:rPr>
          <w:rFonts w:ascii="Arial" w:hAnsi="Arial" w:cs="Arial"/>
        </w:rPr>
      </w:pPr>
    </w:p>
    <w:p w14:paraId="6229B3DA" w14:textId="77777777" w:rsidR="00E56402" w:rsidRDefault="00E56402" w:rsidP="00671F20">
      <w:pPr>
        <w:rPr>
          <w:rFonts w:ascii="Arial" w:hAnsi="Arial" w:cs="Arial"/>
        </w:rPr>
      </w:pPr>
    </w:p>
    <w:p w14:paraId="2576643A" w14:textId="77777777" w:rsidR="00E56402" w:rsidRDefault="00E56402" w:rsidP="00671F20">
      <w:pPr>
        <w:rPr>
          <w:rFonts w:ascii="Arial" w:hAnsi="Arial" w:cs="Arial"/>
        </w:rPr>
      </w:pPr>
    </w:p>
    <w:p w14:paraId="67D042A5" w14:textId="77777777" w:rsidR="00671F20" w:rsidRPr="00AB4245" w:rsidRDefault="00671F20" w:rsidP="00671F20">
      <w:pPr>
        <w:rPr>
          <w:rFonts w:ascii="Arial" w:hAnsi="Arial" w:cs="Arial"/>
        </w:rPr>
      </w:pPr>
      <w:r>
        <w:rPr>
          <w:rFonts w:ascii="Arial" w:hAnsi="Arial" w:cs="Arial"/>
          <w:b/>
          <w:bCs/>
        </w:rPr>
        <w:lastRenderedPageBreak/>
        <w:t xml:space="preserve">Table 1. </w:t>
      </w:r>
      <w:r>
        <w:rPr>
          <w:rFonts w:ascii="Arial" w:hAnsi="Arial" w:cs="Arial"/>
        </w:rPr>
        <w:t>Additional information known by the leader that can be provided upon request</w:t>
      </w:r>
    </w:p>
    <w:tbl>
      <w:tblPr>
        <w:tblStyle w:val="TableGrid"/>
        <w:tblW w:w="0" w:type="auto"/>
        <w:tblLook w:val="04A0" w:firstRow="1" w:lastRow="0" w:firstColumn="1" w:lastColumn="0" w:noHBand="0" w:noVBand="1"/>
      </w:tblPr>
      <w:tblGrid>
        <w:gridCol w:w="2335"/>
        <w:gridCol w:w="7015"/>
      </w:tblGrid>
      <w:tr w:rsidR="00671F20" w14:paraId="58715F50" w14:textId="77777777" w:rsidTr="00CA7CA4">
        <w:tc>
          <w:tcPr>
            <w:tcW w:w="9350" w:type="dxa"/>
            <w:gridSpan w:val="2"/>
            <w:shd w:val="clear" w:color="auto" w:fill="D1D1D1" w:themeFill="background2" w:themeFillShade="E6"/>
          </w:tcPr>
          <w:p w14:paraId="3B9995B9" w14:textId="77777777" w:rsidR="00671F20" w:rsidRDefault="00671F20" w:rsidP="00CA7CA4">
            <w:pPr>
              <w:jc w:val="center"/>
              <w:rPr>
                <w:rFonts w:ascii="Arial" w:hAnsi="Arial" w:cs="Arial"/>
                <w:b/>
                <w:bCs/>
              </w:rPr>
            </w:pPr>
            <w:r>
              <w:rPr>
                <w:rFonts w:ascii="Arial" w:hAnsi="Arial" w:cs="Arial"/>
                <w:b/>
                <w:bCs/>
              </w:rPr>
              <w:t>Meeting Notes for the Leader</w:t>
            </w:r>
          </w:p>
          <w:p w14:paraId="0E11B59F" w14:textId="77777777" w:rsidR="00671F20" w:rsidRPr="005C7D54" w:rsidRDefault="00671F20" w:rsidP="00CA7CA4">
            <w:pPr>
              <w:jc w:val="center"/>
              <w:rPr>
                <w:rFonts w:ascii="Arial" w:hAnsi="Arial" w:cs="Arial"/>
              </w:rPr>
            </w:pPr>
            <w:r>
              <w:rPr>
                <w:rFonts w:ascii="Arial" w:hAnsi="Arial" w:cs="Arial"/>
              </w:rPr>
              <w:t>Not to be shared with the group</w:t>
            </w:r>
          </w:p>
        </w:tc>
      </w:tr>
      <w:tr w:rsidR="00671F20" w14:paraId="123FB5A6" w14:textId="77777777" w:rsidTr="00CA7CA4">
        <w:tc>
          <w:tcPr>
            <w:tcW w:w="2335" w:type="dxa"/>
          </w:tcPr>
          <w:p w14:paraId="10627601" w14:textId="77777777" w:rsidR="00671F20" w:rsidRDefault="00671F20" w:rsidP="00CA7CA4">
            <w:pPr>
              <w:rPr>
                <w:rFonts w:ascii="Arial" w:hAnsi="Arial" w:cs="Arial"/>
              </w:rPr>
            </w:pPr>
            <w:r>
              <w:rPr>
                <w:rFonts w:ascii="Arial" w:hAnsi="Arial" w:cs="Arial"/>
              </w:rPr>
              <w:t xml:space="preserve">Other researcher’s experiments </w:t>
            </w:r>
          </w:p>
        </w:tc>
        <w:tc>
          <w:tcPr>
            <w:tcW w:w="7015" w:type="dxa"/>
          </w:tcPr>
          <w:p w14:paraId="03E8BC05" w14:textId="6F95F1B6" w:rsidR="00BB549E" w:rsidRDefault="0059460A" w:rsidP="00671F20">
            <w:pPr>
              <w:pStyle w:val="ListParagraph"/>
              <w:numPr>
                <w:ilvl w:val="0"/>
                <w:numId w:val="5"/>
              </w:numPr>
              <w:rPr>
                <w:rFonts w:ascii="Arial" w:hAnsi="Arial" w:cs="Arial"/>
              </w:rPr>
            </w:pPr>
            <w:r>
              <w:rPr>
                <w:rFonts w:ascii="Arial" w:hAnsi="Arial" w:cs="Arial"/>
              </w:rPr>
              <w:t>Those</w:t>
            </w:r>
            <w:r w:rsidR="00BB549E">
              <w:rPr>
                <w:rFonts w:ascii="Arial" w:hAnsi="Arial" w:cs="Arial"/>
              </w:rPr>
              <w:t xml:space="preserve"> also using Gibson assembly are having the same issue and not seeing colonies on their transformations</w:t>
            </w:r>
          </w:p>
          <w:p w14:paraId="2C55B418" w14:textId="1489AB1B" w:rsidR="00671F20" w:rsidRPr="00AB4245" w:rsidRDefault="00BB549E" w:rsidP="00671F20">
            <w:pPr>
              <w:pStyle w:val="ListParagraph"/>
              <w:numPr>
                <w:ilvl w:val="0"/>
                <w:numId w:val="5"/>
              </w:numPr>
              <w:rPr>
                <w:rFonts w:ascii="Arial" w:hAnsi="Arial" w:cs="Arial"/>
              </w:rPr>
            </w:pPr>
            <w:r>
              <w:rPr>
                <w:rFonts w:ascii="Arial" w:hAnsi="Arial" w:cs="Arial"/>
              </w:rPr>
              <w:t xml:space="preserve">Share if asked - </w:t>
            </w:r>
            <w:r w:rsidR="000F3502">
              <w:rPr>
                <w:rFonts w:ascii="Arial" w:hAnsi="Arial" w:cs="Arial"/>
              </w:rPr>
              <w:t xml:space="preserve">Restriction Enzyme cloning is working </w:t>
            </w:r>
          </w:p>
          <w:p w14:paraId="20C720BD" w14:textId="14769912" w:rsidR="003F5FE9" w:rsidRPr="00BB549E" w:rsidRDefault="00BB549E" w:rsidP="00BB549E">
            <w:pPr>
              <w:pStyle w:val="ListParagraph"/>
              <w:numPr>
                <w:ilvl w:val="0"/>
                <w:numId w:val="5"/>
              </w:numPr>
              <w:rPr>
                <w:rFonts w:ascii="Arial" w:hAnsi="Arial" w:cs="Arial"/>
              </w:rPr>
            </w:pPr>
            <w:r>
              <w:rPr>
                <w:rFonts w:ascii="Arial" w:hAnsi="Arial" w:cs="Arial"/>
              </w:rPr>
              <w:t xml:space="preserve">Share if asked - </w:t>
            </w:r>
            <w:proofErr w:type="spellStart"/>
            <w:r w:rsidR="000F3502">
              <w:rPr>
                <w:rFonts w:ascii="Arial" w:hAnsi="Arial" w:cs="Arial"/>
              </w:rPr>
              <w:t>GoldenGate</w:t>
            </w:r>
            <w:proofErr w:type="spellEnd"/>
            <w:r w:rsidR="000F3502">
              <w:rPr>
                <w:rFonts w:ascii="Arial" w:hAnsi="Arial" w:cs="Arial"/>
              </w:rPr>
              <w:t xml:space="preserve"> cloning working</w:t>
            </w:r>
          </w:p>
        </w:tc>
      </w:tr>
      <w:tr w:rsidR="00671F20" w14:paraId="59C770E9" w14:textId="77777777" w:rsidTr="00CA7CA4">
        <w:tc>
          <w:tcPr>
            <w:tcW w:w="2335" w:type="dxa"/>
          </w:tcPr>
          <w:p w14:paraId="3128639E" w14:textId="77777777" w:rsidR="00671F20" w:rsidRDefault="00671F20" w:rsidP="00CA7CA4">
            <w:pPr>
              <w:rPr>
                <w:rFonts w:ascii="Arial" w:hAnsi="Arial" w:cs="Arial"/>
              </w:rPr>
            </w:pPr>
            <w:r>
              <w:rPr>
                <w:rFonts w:ascii="Arial" w:hAnsi="Arial" w:cs="Arial"/>
              </w:rPr>
              <w:t>Storage information</w:t>
            </w:r>
          </w:p>
        </w:tc>
        <w:tc>
          <w:tcPr>
            <w:tcW w:w="7015" w:type="dxa"/>
          </w:tcPr>
          <w:p w14:paraId="0CFEEF9E" w14:textId="42879D53" w:rsidR="00671F20" w:rsidRDefault="000F3502" w:rsidP="00671F20">
            <w:pPr>
              <w:pStyle w:val="ListParagraph"/>
              <w:numPr>
                <w:ilvl w:val="0"/>
                <w:numId w:val="6"/>
              </w:numPr>
              <w:rPr>
                <w:rFonts w:ascii="Arial" w:hAnsi="Arial" w:cs="Arial"/>
              </w:rPr>
            </w:pPr>
            <w:r>
              <w:rPr>
                <w:rFonts w:ascii="Arial" w:hAnsi="Arial" w:cs="Arial"/>
              </w:rPr>
              <w:t xml:space="preserve">Gibson Assembly Buffer is stored in the -20 °C Freezer and </w:t>
            </w:r>
            <w:r w:rsidR="00B45A6E">
              <w:rPr>
                <w:rFonts w:ascii="Arial" w:hAnsi="Arial" w:cs="Arial"/>
              </w:rPr>
              <w:t xml:space="preserve">can be quickly </w:t>
            </w:r>
            <w:r>
              <w:rPr>
                <w:rFonts w:ascii="Arial" w:hAnsi="Arial" w:cs="Arial"/>
              </w:rPr>
              <w:t>thawed as needed</w:t>
            </w:r>
            <w:r w:rsidR="002527C0">
              <w:rPr>
                <w:rFonts w:ascii="Arial" w:hAnsi="Arial" w:cs="Arial"/>
              </w:rPr>
              <w:t xml:space="preserve"> without loss of fidelity</w:t>
            </w:r>
          </w:p>
          <w:p w14:paraId="1C112BBB" w14:textId="1F20837D" w:rsidR="003F5FE9" w:rsidRPr="00AB4245" w:rsidRDefault="003F5FE9" w:rsidP="00671F20">
            <w:pPr>
              <w:pStyle w:val="ListParagraph"/>
              <w:numPr>
                <w:ilvl w:val="0"/>
                <w:numId w:val="6"/>
              </w:numPr>
              <w:rPr>
                <w:rFonts w:ascii="Arial" w:hAnsi="Arial" w:cs="Arial"/>
              </w:rPr>
            </w:pPr>
            <w:r>
              <w:rPr>
                <w:rFonts w:ascii="Arial" w:hAnsi="Arial" w:cs="Arial"/>
              </w:rPr>
              <w:t>This buffer stock is approximately 6 weeks old</w:t>
            </w:r>
          </w:p>
        </w:tc>
      </w:tr>
      <w:tr w:rsidR="00671F20" w14:paraId="31B8D515" w14:textId="77777777" w:rsidTr="00CA7CA4">
        <w:tc>
          <w:tcPr>
            <w:tcW w:w="2335" w:type="dxa"/>
          </w:tcPr>
          <w:p w14:paraId="53437B87" w14:textId="31D8CD8F" w:rsidR="00671F20" w:rsidRDefault="00671F20" w:rsidP="00CA7CA4">
            <w:pPr>
              <w:rPr>
                <w:rFonts w:ascii="Arial" w:hAnsi="Arial" w:cs="Arial"/>
              </w:rPr>
            </w:pPr>
            <w:r>
              <w:rPr>
                <w:rFonts w:ascii="Arial" w:hAnsi="Arial" w:cs="Arial"/>
              </w:rPr>
              <w:t>Construct information</w:t>
            </w:r>
          </w:p>
        </w:tc>
        <w:tc>
          <w:tcPr>
            <w:tcW w:w="7015" w:type="dxa"/>
          </w:tcPr>
          <w:p w14:paraId="6A951562" w14:textId="77777777" w:rsidR="00671F20" w:rsidRDefault="000F3502" w:rsidP="00671F20">
            <w:pPr>
              <w:pStyle w:val="ListParagraph"/>
              <w:numPr>
                <w:ilvl w:val="0"/>
                <w:numId w:val="6"/>
              </w:numPr>
              <w:rPr>
                <w:rFonts w:ascii="Arial" w:hAnsi="Arial" w:cs="Arial"/>
              </w:rPr>
            </w:pPr>
            <w:r>
              <w:rPr>
                <w:rFonts w:ascii="Arial" w:hAnsi="Arial" w:cs="Arial"/>
              </w:rPr>
              <w:t>Plasmid is using a standard ColE1 origin of replication</w:t>
            </w:r>
          </w:p>
          <w:p w14:paraId="5EC9C68A" w14:textId="77777777" w:rsidR="000F3502" w:rsidRDefault="000F3502" w:rsidP="00671F20">
            <w:pPr>
              <w:pStyle w:val="ListParagraph"/>
              <w:numPr>
                <w:ilvl w:val="0"/>
                <w:numId w:val="6"/>
              </w:numPr>
              <w:rPr>
                <w:rFonts w:ascii="Arial" w:hAnsi="Arial" w:cs="Arial"/>
              </w:rPr>
            </w:pPr>
            <w:r>
              <w:rPr>
                <w:rFonts w:ascii="Arial" w:hAnsi="Arial" w:cs="Arial"/>
              </w:rPr>
              <w:t xml:space="preserve">Antibiotic selection marker is Carbenicillin </w:t>
            </w:r>
          </w:p>
          <w:p w14:paraId="55296FF4" w14:textId="530DFB0B" w:rsidR="000F3502" w:rsidRPr="00AB4245" w:rsidRDefault="000F3502" w:rsidP="00671F20">
            <w:pPr>
              <w:pStyle w:val="ListParagraph"/>
              <w:numPr>
                <w:ilvl w:val="0"/>
                <w:numId w:val="6"/>
              </w:numPr>
              <w:rPr>
                <w:rFonts w:ascii="Arial" w:hAnsi="Arial" w:cs="Arial"/>
              </w:rPr>
            </w:pPr>
            <w:r>
              <w:rPr>
                <w:rFonts w:ascii="Arial" w:hAnsi="Arial" w:cs="Arial"/>
              </w:rPr>
              <w:t>Assume gene of interest is controlled via LacI induction system contained within the plasmid</w:t>
            </w:r>
          </w:p>
        </w:tc>
      </w:tr>
      <w:tr w:rsidR="00671F20" w14:paraId="2218B6E0" w14:textId="77777777" w:rsidTr="00CA7CA4">
        <w:tc>
          <w:tcPr>
            <w:tcW w:w="2335" w:type="dxa"/>
          </w:tcPr>
          <w:p w14:paraId="1AD3609F" w14:textId="77777777" w:rsidR="00671F20" w:rsidRDefault="00671F20" w:rsidP="00CA7CA4">
            <w:pPr>
              <w:rPr>
                <w:rFonts w:ascii="Arial" w:hAnsi="Arial" w:cs="Arial"/>
              </w:rPr>
            </w:pPr>
            <w:r>
              <w:rPr>
                <w:rFonts w:ascii="Arial" w:hAnsi="Arial" w:cs="Arial"/>
              </w:rPr>
              <w:t>Source of error</w:t>
            </w:r>
          </w:p>
        </w:tc>
        <w:tc>
          <w:tcPr>
            <w:tcW w:w="7015" w:type="dxa"/>
          </w:tcPr>
          <w:p w14:paraId="3A2E6D02" w14:textId="49EFD4B8" w:rsidR="00671F20" w:rsidRPr="00AB4245" w:rsidRDefault="000F3502" w:rsidP="00671F20">
            <w:pPr>
              <w:pStyle w:val="ListParagraph"/>
              <w:numPr>
                <w:ilvl w:val="0"/>
                <w:numId w:val="7"/>
              </w:numPr>
              <w:rPr>
                <w:rFonts w:ascii="Arial" w:hAnsi="Arial" w:cs="Arial"/>
              </w:rPr>
            </w:pPr>
            <w:r>
              <w:rPr>
                <w:rFonts w:ascii="Arial" w:hAnsi="Arial" w:cs="Arial"/>
              </w:rPr>
              <w:t>T5 Exonuclease has expired, due to the Buffer being left out</w:t>
            </w:r>
            <w:r w:rsidR="003F5FE9">
              <w:rPr>
                <w:rFonts w:ascii="Arial" w:hAnsi="Arial" w:cs="Arial"/>
              </w:rPr>
              <w:t xml:space="preserve"> for several hours last week</w:t>
            </w:r>
          </w:p>
        </w:tc>
      </w:tr>
      <w:tr w:rsidR="00671F20" w14:paraId="522B7918" w14:textId="77777777" w:rsidTr="00CA7CA4">
        <w:tc>
          <w:tcPr>
            <w:tcW w:w="2335" w:type="dxa"/>
          </w:tcPr>
          <w:p w14:paraId="292C7E5A" w14:textId="77777777" w:rsidR="00671F20" w:rsidRDefault="00671F20" w:rsidP="00CA7CA4">
            <w:pPr>
              <w:rPr>
                <w:rFonts w:ascii="Arial" w:hAnsi="Arial" w:cs="Arial"/>
              </w:rPr>
            </w:pPr>
            <w:r>
              <w:rPr>
                <w:rFonts w:ascii="Arial" w:hAnsi="Arial" w:cs="Arial"/>
              </w:rPr>
              <w:t>Hints for group</w:t>
            </w:r>
          </w:p>
        </w:tc>
        <w:tc>
          <w:tcPr>
            <w:tcW w:w="7015" w:type="dxa"/>
          </w:tcPr>
          <w:p w14:paraId="0F5D7761" w14:textId="7AF9A2FD" w:rsidR="003F5FE9" w:rsidRDefault="003F5FE9" w:rsidP="00671F20">
            <w:pPr>
              <w:pStyle w:val="ListParagraph"/>
              <w:numPr>
                <w:ilvl w:val="0"/>
                <w:numId w:val="7"/>
              </w:numPr>
              <w:rPr>
                <w:rFonts w:ascii="Arial" w:hAnsi="Arial" w:cs="Arial"/>
              </w:rPr>
            </w:pPr>
            <w:r>
              <w:rPr>
                <w:rFonts w:ascii="Arial" w:hAnsi="Arial" w:cs="Arial"/>
              </w:rPr>
              <w:t>Direct group to evaluate if transformation or assembly is the issue if stuck on where to begin</w:t>
            </w:r>
          </w:p>
          <w:p w14:paraId="566DD4C7" w14:textId="77777777" w:rsidR="003F5FE9" w:rsidRDefault="003F5FE9" w:rsidP="00671F20">
            <w:pPr>
              <w:pStyle w:val="ListParagraph"/>
              <w:numPr>
                <w:ilvl w:val="0"/>
                <w:numId w:val="7"/>
              </w:numPr>
              <w:rPr>
                <w:rFonts w:ascii="Arial" w:hAnsi="Arial" w:cs="Arial"/>
              </w:rPr>
            </w:pPr>
            <w:r>
              <w:rPr>
                <w:rFonts w:ascii="Arial" w:hAnsi="Arial" w:cs="Arial"/>
              </w:rPr>
              <w:t>Direct them away from redoing PCRs/primer design</w:t>
            </w:r>
          </w:p>
          <w:p w14:paraId="3D5A7446" w14:textId="318CEBB8" w:rsidR="00671F20" w:rsidRPr="005C7D54" w:rsidRDefault="003F5FE9" w:rsidP="00671F20">
            <w:pPr>
              <w:pStyle w:val="ListParagraph"/>
              <w:numPr>
                <w:ilvl w:val="0"/>
                <w:numId w:val="7"/>
              </w:numPr>
              <w:rPr>
                <w:rFonts w:ascii="Arial" w:hAnsi="Arial" w:cs="Arial"/>
              </w:rPr>
            </w:pPr>
            <w:r>
              <w:rPr>
                <w:rFonts w:ascii="Arial" w:hAnsi="Arial" w:cs="Arial"/>
              </w:rPr>
              <w:t xml:space="preserve">If stuck on troubleshooting assembly issues, highlight that enzymes in Buffer are temperature </w:t>
            </w:r>
            <w:r w:rsidR="000F613C">
              <w:rPr>
                <w:rFonts w:ascii="Arial" w:hAnsi="Arial" w:cs="Arial"/>
              </w:rPr>
              <w:t>sensitive</w:t>
            </w:r>
            <w:r>
              <w:rPr>
                <w:rFonts w:ascii="Arial" w:hAnsi="Arial" w:cs="Arial"/>
              </w:rPr>
              <w:t xml:space="preserve"> </w:t>
            </w:r>
          </w:p>
        </w:tc>
      </w:tr>
    </w:tbl>
    <w:p w14:paraId="05598E75" w14:textId="77777777" w:rsidR="00671F20" w:rsidRDefault="00671F20" w:rsidP="004148B1">
      <w:pPr>
        <w:spacing w:line="240" w:lineRule="auto"/>
        <w:jc w:val="both"/>
        <w:rPr>
          <w:rFonts w:ascii="Arial" w:hAnsi="Arial" w:cs="Arial"/>
        </w:rPr>
      </w:pPr>
    </w:p>
    <w:p w14:paraId="3E997535" w14:textId="10B8B1B6" w:rsidR="00671F20" w:rsidRPr="00671F20" w:rsidRDefault="00671F20" w:rsidP="004148B1">
      <w:pPr>
        <w:spacing w:line="240" w:lineRule="auto"/>
        <w:jc w:val="both"/>
        <w:rPr>
          <w:rFonts w:ascii="Arial" w:hAnsi="Arial" w:cs="Arial"/>
          <w:b/>
          <w:bCs/>
        </w:rPr>
      </w:pPr>
      <w:r>
        <w:rPr>
          <w:rFonts w:ascii="Arial" w:hAnsi="Arial" w:cs="Arial"/>
          <w:b/>
          <w:bCs/>
        </w:rPr>
        <w:t>References</w:t>
      </w:r>
    </w:p>
    <w:p w14:paraId="4A43E9B5" w14:textId="77777777" w:rsidR="00671F20" w:rsidRPr="00671F20" w:rsidRDefault="00671F20" w:rsidP="00671F20">
      <w:pPr>
        <w:pStyle w:val="Bibliography"/>
        <w:rPr>
          <w:rFonts w:ascii="Arial" w:hAnsi="Arial" w:cs="Arial"/>
        </w:rPr>
      </w:pPr>
      <w:r>
        <w:rPr>
          <w:rFonts w:ascii="Arial" w:hAnsi="Arial" w:cs="Arial"/>
        </w:rPr>
        <w:fldChar w:fldCharType="begin"/>
      </w:r>
      <w:r>
        <w:rPr>
          <w:rFonts w:ascii="Arial" w:hAnsi="Arial" w:cs="Arial"/>
        </w:rPr>
        <w:instrText xml:space="preserve"> ADDIN ZOTERO_BIBL {"uncited":[],"omitted":[],"custom":[]} CSL_BIBLIOGRAPHY </w:instrText>
      </w:r>
      <w:r>
        <w:rPr>
          <w:rFonts w:ascii="Arial" w:hAnsi="Arial" w:cs="Arial"/>
        </w:rPr>
        <w:fldChar w:fldCharType="separate"/>
      </w:r>
      <w:r w:rsidRPr="00671F20">
        <w:rPr>
          <w:rFonts w:ascii="Arial" w:hAnsi="Arial" w:cs="Arial"/>
        </w:rPr>
        <w:t>(1)</w:t>
      </w:r>
      <w:r w:rsidRPr="00671F20">
        <w:rPr>
          <w:rFonts w:ascii="Arial" w:hAnsi="Arial" w:cs="Arial"/>
        </w:rPr>
        <w:tab/>
        <w:t xml:space="preserve">Gibson, D. G.; Young, L.; Chuang, R.-Y.; Venter, J. C.; Hutchison, C. A.; Smith, H. O. Enzymatic Assembly of DNA Molecules up to Several Hundred Kilobases. </w:t>
      </w:r>
      <w:r w:rsidRPr="00671F20">
        <w:rPr>
          <w:rFonts w:ascii="Arial" w:hAnsi="Arial" w:cs="Arial"/>
          <w:i/>
          <w:iCs/>
        </w:rPr>
        <w:t>Nat. Methods</w:t>
      </w:r>
      <w:r w:rsidRPr="00671F20">
        <w:rPr>
          <w:rFonts w:ascii="Arial" w:hAnsi="Arial" w:cs="Arial"/>
        </w:rPr>
        <w:t xml:space="preserve"> </w:t>
      </w:r>
      <w:r w:rsidRPr="00671F20">
        <w:rPr>
          <w:rFonts w:ascii="Arial" w:hAnsi="Arial" w:cs="Arial"/>
          <w:b/>
          <w:bCs/>
        </w:rPr>
        <w:t>2009</w:t>
      </w:r>
      <w:r w:rsidRPr="00671F20">
        <w:rPr>
          <w:rFonts w:ascii="Arial" w:hAnsi="Arial" w:cs="Arial"/>
        </w:rPr>
        <w:t xml:space="preserve">, </w:t>
      </w:r>
      <w:r w:rsidRPr="00671F20">
        <w:rPr>
          <w:rFonts w:ascii="Arial" w:hAnsi="Arial" w:cs="Arial"/>
          <w:i/>
          <w:iCs/>
        </w:rPr>
        <w:t>6</w:t>
      </w:r>
      <w:r w:rsidRPr="00671F20">
        <w:rPr>
          <w:rFonts w:ascii="Arial" w:hAnsi="Arial" w:cs="Arial"/>
        </w:rPr>
        <w:t xml:space="preserve"> (5), 343–345. https://doi.org/10.1038/nmeth.1318.</w:t>
      </w:r>
    </w:p>
    <w:p w14:paraId="35165BDB" w14:textId="2C813656" w:rsidR="00671F20" w:rsidRPr="004148B1" w:rsidRDefault="00671F20" w:rsidP="004148B1">
      <w:pPr>
        <w:spacing w:line="240" w:lineRule="auto"/>
        <w:jc w:val="both"/>
        <w:rPr>
          <w:rFonts w:ascii="Arial" w:hAnsi="Arial" w:cs="Arial"/>
        </w:rPr>
      </w:pPr>
      <w:r>
        <w:rPr>
          <w:rFonts w:ascii="Arial" w:hAnsi="Arial" w:cs="Arial"/>
        </w:rPr>
        <w:fldChar w:fldCharType="end"/>
      </w:r>
    </w:p>
    <w:sectPr w:rsidR="00671F20" w:rsidRPr="00414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01847"/>
    <w:multiLevelType w:val="hybridMultilevel"/>
    <w:tmpl w:val="6EB8E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C68E5"/>
    <w:multiLevelType w:val="hybridMultilevel"/>
    <w:tmpl w:val="B46C4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66518E"/>
    <w:multiLevelType w:val="hybridMultilevel"/>
    <w:tmpl w:val="D4D6AA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B26F88"/>
    <w:multiLevelType w:val="hybridMultilevel"/>
    <w:tmpl w:val="1F3A7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8655498"/>
    <w:multiLevelType w:val="hybridMultilevel"/>
    <w:tmpl w:val="ED986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221D2E"/>
    <w:multiLevelType w:val="hybridMultilevel"/>
    <w:tmpl w:val="A538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E3459A8"/>
    <w:multiLevelType w:val="hybridMultilevel"/>
    <w:tmpl w:val="AFB6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59813263">
    <w:abstractNumId w:val="1"/>
  </w:num>
  <w:num w:numId="2" w16cid:durableId="363596387">
    <w:abstractNumId w:val="0"/>
  </w:num>
  <w:num w:numId="3" w16cid:durableId="2016612165">
    <w:abstractNumId w:val="2"/>
  </w:num>
  <w:num w:numId="4" w16cid:durableId="1491479377">
    <w:abstractNumId w:val="4"/>
  </w:num>
  <w:num w:numId="5" w16cid:durableId="272445909">
    <w:abstractNumId w:val="6"/>
  </w:num>
  <w:num w:numId="6" w16cid:durableId="852115225">
    <w:abstractNumId w:val="3"/>
  </w:num>
  <w:num w:numId="7" w16cid:durableId="11916498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3CC"/>
    <w:rsid w:val="000367B6"/>
    <w:rsid w:val="000C6184"/>
    <w:rsid w:val="000F3502"/>
    <w:rsid w:val="000F613C"/>
    <w:rsid w:val="00171420"/>
    <w:rsid w:val="001B1E98"/>
    <w:rsid w:val="001B5777"/>
    <w:rsid w:val="002527C0"/>
    <w:rsid w:val="002A74A4"/>
    <w:rsid w:val="002E40C7"/>
    <w:rsid w:val="002F4A26"/>
    <w:rsid w:val="0033157F"/>
    <w:rsid w:val="003F5FE9"/>
    <w:rsid w:val="004148B1"/>
    <w:rsid w:val="00436ACA"/>
    <w:rsid w:val="0045444B"/>
    <w:rsid w:val="004F7805"/>
    <w:rsid w:val="0059460A"/>
    <w:rsid w:val="00597FCC"/>
    <w:rsid w:val="005A00C1"/>
    <w:rsid w:val="005C2482"/>
    <w:rsid w:val="00611E72"/>
    <w:rsid w:val="00612188"/>
    <w:rsid w:val="00671F20"/>
    <w:rsid w:val="00763883"/>
    <w:rsid w:val="0080435B"/>
    <w:rsid w:val="008168F0"/>
    <w:rsid w:val="008C12BB"/>
    <w:rsid w:val="008E0FF6"/>
    <w:rsid w:val="00967D36"/>
    <w:rsid w:val="00980FFC"/>
    <w:rsid w:val="009A73B1"/>
    <w:rsid w:val="009E5CD7"/>
    <w:rsid w:val="009F7C57"/>
    <w:rsid w:val="00A93DFE"/>
    <w:rsid w:val="00AC5A4A"/>
    <w:rsid w:val="00B27A60"/>
    <w:rsid w:val="00B45A6E"/>
    <w:rsid w:val="00B873CC"/>
    <w:rsid w:val="00B94886"/>
    <w:rsid w:val="00B95974"/>
    <w:rsid w:val="00BB549E"/>
    <w:rsid w:val="00C06925"/>
    <w:rsid w:val="00E56402"/>
    <w:rsid w:val="00F11B16"/>
    <w:rsid w:val="00F40D3F"/>
    <w:rsid w:val="00F536B7"/>
    <w:rsid w:val="00F54537"/>
    <w:rsid w:val="00FA5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088F9"/>
  <w15:chartTrackingRefBased/>
  <w15:docId w15:val="{DA99468D-B3BE-4E19-B8DF-45D7C322C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73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73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73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73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73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73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73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73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73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73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73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73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73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73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73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73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73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73CC"/>
    <w:rPr>
      <w:rFonts w:eastAsiaTheme="majorEastAsia" w:cstheme="majorBidi"/>
      <w:color w:val="272727" w:themeColor="text1" w:themeTint="D8"/>
    </w:rPr>
  </w:style>
  <w:style w:type="paragraph" w:styleId="Title">
    <w:name w:val="Title"/>
    <w:basedOn w:val="Normal"/>
    <w:next w:val="Normal"/>
    <w:link w:val="TitleChar"/>
    <w:uiPriority w:val="10"/>
    <w:qFormat/>
    <w:rsid w:val="00B873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73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73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73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73CC"/>
    <w:pPr>
      <w:spacing w:before="160"/>
      <w:jc w:val="center"/>
    </w:pPr>
    <w:rPr>
      <w:i/>
      <w:iCs/>
      <w:color w:val="404040" w:themeColor="text1" w:themeTint="BF"/>
    </w:rPr>
  </w:style>
  <w:style w:type="character" w:customStyle="1" w:styleId="QuoteChar">
    <w:name w:val="Quote Char"/>
    <w:basedOn w:val="DefaultParagraphFont"/>
    <w:link w:val="Quote"/>
    <w:uiPriority w:val="29"/>
    <w:rsid w:val="00B873CC"/>
    <w:rPr>
      <w:i/>
      <w:iCs/>
      <w:color w:val="404040" w:themeColor="text1" w:themeTint="BF"/>
    </w:rPr>
  </w:style>
  <w:style w:type="paragraph" w:styleId="ListParagraph">
    <w:name w:val="List Paragraph"/>
    <w:basedOn w:val="Normal"/>
    <w:uiPriority w:val="34"/>
    <w:qFormat/>
    <w:rsid w:val="00B873CC"/>
    <w:pPr>
      <w:ind w:left="720"/>
      <w:contextualSpacing/>
    </w:pPr>
  </w:style>
  <w:style w:type="character" w:styleId="IntenseEmphasis">
    <w:name w:val="Intense Emphasis"/>
    <w:basedOn w:val="DefaultParagraphFont"/>
    <w:uiPriority w:val="21"/>
    <w:qFormat/>
    <w:rsid w:val="00B873CC"/>
    <w:rPr>
      <w:i/>
      <w:iCs/>
      <w:color w:val="0F4761" w:themeColor="accent1" w:themeShade="BF"/>
    </w:rPr>
  </w:style>
  <w:style w:type="paragraph" w:styleId="IntenseQuote">
    <w:name w:val="Intense Quote"/>
    <w:basedOn w:val="Normal"/>
    <w:next w:val="Normal"/>
    <w:link w:val="IntenseQuoteChar"/>
    <w:uiPriority w:val="30"/>
    <w:qFormat/>
    <w:rsid w:val="00B873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73CC"/>
    <w:rPr>
      <w:i/>
      <w:iCs/>
      <w:color w:val="0F4761" w:themeColor="accent1" w:themeShade="BF"/>
    </w:rPr>
  </w:style>
  <w:style w:type="character" w:styleId="IntenseReference">
    <w:name w:val="Intense Reference"/>
    <w:basedOn w:val="DefaultParagraphFont"/>
    <w:uiPriority w:val="32"/>
    <w:qFormat/>
    <w:rsid w:val="00B873CC"/>
    <w:rPr>
      <w:b/>
      <w:bCs/>
      <w:smallCaps/>
      <w:color w:val="0F4761" w:themeColor="accent1" w:themeShade="BF"/>
      <w:spacing w:val="5"/>
    </w:rPr>
  </w:style>
  <w:style w:type="table" w:styleId="TableGrid">
    <w:name w:val="Table Grid"/>
    <w:basedOn w:val="TableNormal"/>
    <w:uiPriority w:val="39"/>
    <w:rsid w:val="00F536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5974"/>
    <w:pPr>
      <w:spacing w:after="0" w:line="240" w:lineRule="auto"/>
    </w:pPr>
  </w:style>
  <w:style w:type="character" w:styleId="CommentReference">
    <w:name w:val="annotation reference"/>
    <w:basedOn w:val="DefaultParagraphFont"/>
    <w:uiPriority w:val="99"/>
    <w:semiHidden/>
    <w:unhideWhenUsed/>
    <w:rsid w:val="00B95974"/>
    <w:rPr>
      <w:sz w:val="16"/>
      <w:szCs w:val="16"/>
    </w:rPr>
  </w:style>
  <w:style w:type="paragraph" w:styleId="CommentText">
    <w:name w:val="annotation text"/>
    <w:basedOn w:val="Normal"/>
    <w:link w:val="CommentTextChar"/>
    <w:uiPriority w:val="99"/>
    <w:semiHidden/>
    <w:unhideWhenUsed/>
    <w:rsid w:val="00B95974"/>
    <w:pPr>
      <w:spacing w:line="240" w:lineRule="auto"/>
    </w:pPr>
    <w:rPr>
      <w:sz w:val="20"/>
      <w:szCs w:val="20"/>
    </w:rPr>
  </w:style>
  <w:style w:type="character" w:customStyle="1" w:styleId="CommentTextChar">
    <w:name w:val="Comment Text Char"/>
    <w:basedOn w:val="DefaultParagraphFont"/>
    <w:link w:val="CommentText"/>
    <w:uiPriority w:val="99"/>
    <w:semiHidden/>
    <w:rsid w:val="00B95974"/>
    <w:rPr>
      <w:sz w:val="20"/>
      <w:szCs w:val="20"/>
    </w:rPr>
  </w:style>
  <w:style w:type="paragraph" w:styleId="CommentSubject">
    <w:name w:val="annotation subject"/>
    <w:basedOn w:val="CommentText"/>
    <w:next w:val="CommentText"/>
    <w:link w:val="CommentSubjectChar"/>
    <w:uiPriority w:val="99"/>
    <w:semiHidden/>
    <w:unhideWhenUsed/>
    <w:rsid w:val="00B95974"/>
    <w:rPr>
      <w:b/>
      <w:bCs/>
    </w:rPr>
  </w:style>
  <w:style w:type="character" w:customStyle="1" w:styleId="CommentSubjectChar">
    <w:name w:val="Comment Subject Char"/>
    <w:basedOn w:val="CommentTextChar"/>
    <w:link w:val="CommentSubject"/>
    <w:uiPriority w:val="99"/>
    <w:semiHidden/>
    <w:rsid w:val="00B95974"/>
    <w:rPr>
      <w:b/>
      <w:bCs/>
      <w:sz w:val="20"/>
      <w:szCs w:val="20"/>
    </w:rPr>
  </w:style>
  <w:style w:type="paragraph" w:styleId="Bibliography">
    <w:name w:val="Bibliography"/>
    <w:basedOn w:val="Normal"/>
    <w:next w:val="Normal"/>
    <w:uiPriority w:val="37"/>
    <w:unhideWhenUsed/>
    <w:rsid w:val="00671F20"/>
    <w:pPr>
      <w:tabs>
        <w:tab w:val="left" w:pos="380"/>
      </w:tabs>
      <w:spacing w:after="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68730">
      <w:bodyDiv w:val="1"/>
      <w:marLeft w:val="0"/>
      <w:marRight w:val="0"/>
      <w:marTop w:val="0"/>
      <w:marBottom w:val="0"/>
      <w:divBdr>
        <w:top w:val="none" w:sz="0" w:space="0" w:color="auto"/>
        <w:left w:val="none" w:sz="0" w:space="0" w:color="auto"/>
        <w:bottom w:val="none" w:sz="0" w:space="0" w:color="auto"/>
        <w:right w:val="none" w:sz="0" w:space="0" w:color="auto"/>
      </w:divBdr>
    </w:div>
    <w:div w:id="140255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Simmons</dc:creator>
  <cp:keywords/>
  <dc:description/>
  <cp:lastModifiedBy>Partipilo, Gina</cp:lastModifiedBy>
  <cp:revision>5</cp:revision>
  <dcterms:created xsi:type="dcterms:W3CDTF">2024-05-23T18:45:00Z</dcterms:created>
  <dcterms:modified xsi:type="dcterms:W3CDTF">2024-05-26T15:38:00Z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id="lR2gXK5d"/&gt;&lt;style id="http://www.zotero.org/styles/american-chemical-society"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